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right="480"/>
        <w:rPr>
          <w:rFonts w:hint="eastAsia" w:ascii="黑体" w:hAnsi="黑体" w:eastAsia="黑体" w:cs="仿宋_GB2312"/>
          <w:snapToGrid w:val="0"/>
          <w:kern w:val="0"/>
          <w:szCs w:val="32"/>
          <w:lang w:eastAsia="zh-CN"/>
        </w:rPr>
      </w:pPr>
      <w:r>
        <w:rPr>
          <w:rFonts w:hint="eastAsia" w:ascii="黑体" w:hAnsi="黑体" w:eastAsia="黑体" w:cs="仿宋_GB2312"/>
          <w:snapToGrid w:val="0"/>
          <w:kern w:val="0"/>
          <w:szCs w:val="32"/>
        </w:rPr>
        <w:t>附件</w:t>
      </w:r>
      <w:r>
        <w:rPr>
          <w:rFonts w:hint="eastAsia" w:ascii="黑体" w:hAnsi="黑体" w:eastAsia="黑体" w:cs="仿宋_GB2312"/>
          <w:snapToGrid w:val="0"/>
          <w:kern w:val="0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90" w:lineRule="atLeast"/>
        <w:ind w:firstLine="562"/>
        <w:jc w:val="center"/>
        <w:rPr>
          <w:rFonts w:eastAsia="宋体"/>
          <w:color w:val="333333"/>
          <w:kern w:val="0"/>
          <w:szCs w:val="32"/>
        </w:rPr>
      </w:pPr>
      <w:r>
        <w:rPr>
          <w:rFonts w:hint="eastAsia" w:ascii="黑体" w:hAnsi="黑体" w:eastAsia="黑体"/>
          <w:bCs/>
          <w:color w:val="333333"/>
          <w:kern w:val="0"/>
          <w:szCs w:val="32"/>
          <w:lang w:eastAsia="zh-CN"/>
        </w:rPr>
        <w:t>课题</w:t>
      </w:r>
      <w:r>
        <w:rPr>
          <w:rFonts w:hint="eastAsia" w:ascii="黑体" w:hAnsi="黑体" w:eastAsia="黑体"/>
          <w:bCs/>
          <w:color w:val="333333"/>
          <w:kern w:val="0"/>
          <w:szCs w:val="32"/>
        </w:rPr>
        <w:t>综合评分表：</w:t>
      </w:r>
    </w:p>
    <w:tbl>
      <w:tblPr>
        <w:tblStyle w:val="2"/>
        <w:tblW w:w="82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295"/>
        <w:gridCol w:w="50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/>
                <w:color w:val="333333"/>
                <w:kern w:val="0"/>
                <w:sz w:val="28"/>
                <w:szCs w:val="32"/>
              </w:rPr>
              <w:t>名</w:t>
            </w:r>
            <w:r>
              <w:rPr>
                <w:rFonts w:hint="eastAsia" w:ascii="仿宋_GB2312" w:hAnsi="Calibri" w:cs="Calibri"/>
                <w:color w:val="333333"/>
                <w:kern w:val="0"/>
                <w:sz w:val="28"/>
                <w:szCs w:val="32"/>
              </w:rPr>
              <w:t>   </w:t>
            </w:r>
            <w:r>
              <w:rPr>
                <w:rFonts w:hint="eastAsia" w:ascii="仿宋_GB2312" w:hAnsi="黑体"/>
                <w:color w:val="333333"/>
                <w:kern w:val="0"/>
                <w:sz w:val="28"/>
                <w:szCs w:val="32"/>
              </w:rPr>
              <w:t>称</w:t>
            </w:r>
          </w:p>
        </w:tc>
        <w:tc>
          <w:tcPr>
            <w:tcW w:w="5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ascii="仿宋_GB2312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/>
                <w:color w:val="333333"/>
                <w:kern w:val="0"/>
                <w:sz w:val="28"/>
                <w:szCs w:val="32"/>
              </w:rPr>
              <w:t>评分依据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420" w:hanging="420"/>
              <w:jc w:val="center"/>
              <w:textAlignment w:val="auto"/>
              <w:rPr>
                <w:rFonts w:ascii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</w:rPr>
              <w:t>团队负责人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</w:rPr>
              <w:t>拟投入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项目人员情况及近5年同类业绩（如：国民经济与社会发展规划编制、评估等）成果（15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</w:rPr>
              <w:t>分）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1、本项目配备的项目负责人工作经验丰富：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（1）</w:t>
            </w:r>
            <w:bookmarkStart w:id="0" w:name="_Hlk92895368"/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具有</w:t>
            </w:r>
            <w:bookmarkEnd w:id="0"/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教授职称（或者相当于教授以上职称的专业技术人员）或具备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年以上（含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10年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）高级工程师资历，得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）具有副教授职称（或者相当于副教授以上职称的专业技术人员）或具备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年以上（含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8年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）高级工程师资历，得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）具有讲师职称（或者相当于讲师以上职称的专业技术人员）或具备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年以上（含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6年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）高级工程师资历，得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备注：提供项目负责人职称证明的复印件并加盖供应商公章；高级工程师年限以初次发证时间进行计算。以最高得分档次计算一次。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 xml:space="preserve">本项目配备的项目人员（含项目负责人）数量：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（1）提供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7人及以上得5分；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）提供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5-6人得3分；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）提供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3-4人得1分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备注：提供人员清单一览表。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上述两项累计最高得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default" w:ascii="仿宋_GB2312" w:hAnsi="仿宋"/>
                <w:color w:val="000000"/>
                <w:kern w:val="0"/>
                <w:sz w:val="28"/>
                <w:szCs w:val="32"/>
                <w:lang w:val="e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</w:rPr>
              <w:t>近5年取得的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同类型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</w:rPr>
              <w:t>研究成果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（小计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5分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</w:rPr>
              <w:t>。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32"/>
              </w:rPr>
              <w:t>[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</w:rPr>
              <w:t>需提供合同复印件，原件备查。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32"/>
              </w:rPr>
              <w:t>]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</w:rPr>
              <w:t>（</w:t>
            </w:r>
            <w:r>
              <w:rPr>
                <w:rFonts w:hint="default" w:ascii="仿宋_GB2312" w:hAnsi="仿宋"/>
                <w:color w:val="000000"/>
                <w:kern w:val="0"/>
                <w:sz w:val="28"/>
                <w:szCs w:val="32"/>
                <w:lang w:val="en"/>
              </w:rPr>
              <w:t>每个成果得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仿宋"/>
                <w:color w:val="000000"/>
                <w:kern w:val="0"/>
                <w:sz w:val="28"/>
                <w:szCs w:val="32"/>
                <w:lang w:val="en"/>
              </w:rPr>
              <w:t>分，该项得分最多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</w:rPr>
              <w:t>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420" w:hanging="420"/>
              <w:jc w:val="center"/>
              <w:textAlignment w:val="auto"/>
              <w:rPr>
                <w:rFonts w:hint="default" w:ascii="仿宋_GB2312" w:hAnsi="宋体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32"/>
                <w:lang w:eastAsia="zh-CN"/>
              </w:rPr>
              <w:t>课题研究框架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32"/>
              </w:rPr>
              <w:t>(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32"/>
                <w:lang w:val="en-US" w:eastAsia="zh-CN"/>
              </w:rPr>
              <w:t>40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</w:rPr>
              <w:t>分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32"/>
              </w:rPr>
              <w:t>)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对本课题研究的基本内容，工作重点难点分析及解决措施：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对本课题研究的基本内容，工作重点难点分析准确、到位，解决措施合理可行得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40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 xml:space="preserve"> 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对本课题研究的基本内容，工作重点难点分析较为准确、到位，解决措施较为合理可行得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对本课题研究的基本内容，工作重点难点分析基本为准确，解决措施可行性一般得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未提供不得分。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ascii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</w:rPr>
              <w:t>课题研究的步骤安排和时间进展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32"/>
              </w:rPr>
              <w:t>(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</w:rPr>
              <w:t>分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32"/>
              </w:rPr>
              <w:t>)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包括实施计划、系统收集方法、数据分析方案、工作计划安排、成果展示形式、内容等情况进行评审：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 xml:space="preserve">实施方案详细、科学、合理、可行的，得 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 xml:space="preserve"> 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实施方案较详细、较科学、较合理可行的，得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实施方案基本详细，但不够合理可行的，得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ascii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未提供不得分。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default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报价(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分)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价格分应当采用低价优先法计算，即满足该课题要求且价格最低的报价为评标基准价，其价格分为满分。其他响应供应商的价格分统一按照下列公式计算：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报价得分=(评标基准价／报价)×100×权重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1、报价得分四舍五入后，小数点后保留两位有效数。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2、此处报价以“响应报价”进行价格评审。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default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3、应提供经费预算表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申请书的规范性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分）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left"/>
              <w:textAlignment w:val="auto"/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申请书制作规范，没有偏差情形的得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分；有一项细微偏差扣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val="en-US" w:eastAsia="zh-CN"/>
              </w:rPr>
              <w:t>0.5</w:t>
            </w:r>
            <w:r>
              <w:rPr>
                <w:rFonts w:hint="eastAsia" w:ascii="仿宋_GB2312" w:hAnsi="仿宋"/>
                <w:color w:val="000000"/>
                <w:kern w:val="0"/>
                <w:sz w:val="28"/>
                <w:szCs w:val="32"/>
                <w:lang w:eastAsia="zh-CN"/>
              </w:rPr>
              <w:t>分，直至该项分值扣完为止。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TliY2VmYjBiNDdmYzI4ODhhZDVhZDhiZmFiYjEifQ=="/>
  </w:docVars>
  <w:rsids>
    <w:rsidRoot w:val="08B24483"/>
    <w:rsid w:val="08B2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2023-03-03T06:30:00Z</dcterms:created>
  <dc:creator>DDZA10585</dc:creator>
  <cp:lastModifiedBy>DDZA10585</cp:lastModifiedBy>
  <dcterms:modified xsi:type="dcterms:W3CDTF">2023-03-03T06:31:04Z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0544EF4819CE4BF3A457CAE15132910C</vt:lpwstr>
  </property>
</Properties>
</file>