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074" w:rsidRDefault="00A73074">
      <w:pPr>
        <w:spacing w:line="360" w:lineRule="auto"/>
        <w:jc w:val="left"/>
        <w:rPr>
          <w:rFonts w:ascii="宋体" w:eastAsia="宋体" w:hAnsi="宋体" w:cs="MingLiU"/>
          <w:kern w:val="0"/>
          <w:sz w:val="32"/>
          <w:szCs w:val="32"/>
          <w:lang w:val="zh-CN"/>
        </w:rPr>
      </w:pPr>
    </w:p>
    <w:p w:rsidR="00A73074" w:rsidRDefault="00A73074">
      <w:pPr>
        <w:spacing w:line="360" w:lineRule="auto"/>
        <w:jc w:val="left"/>
        <w:rPr>
          <w:rFonts w:ascii="宋体" w:eastAsia="宋体" w:hAnsi="宋体" w:cs="MingLiU"/>
          <w:kern w:val="0"/>
          <w:sz w:val="32"/>
          <w:szCs w:val="32"/>
          <w:lang w:val="zh-CN"/>
        </w:rPr>
      </w:pPr>
    </w:p>
    <w:p w:rsidR="00A73074" w:rsidRDefault="00A73074">
      <w:pPr>
        <w:spacing w:line="360" w:lineRule="auto"/>
        <w:jc w:val="left"/>
        <w:rPr>
          <w:rFonts w:ascii="宋体" w:eastAsia="宋体" w:hAnsi="宋体" w:cs="MingLiU"/>
          <w:kern w:val="0"/>
          <w:sz w:val="32"/>
          <w:szCs w:val="32"/>
          <w:lang w:val="zh-CN"/>
        </w:rPr>
      </w:pPr>
    </w:p>
    <w:p w:rsidR="00A73074" w:rsidRDefault="00A73074">
      <w:pPr>
        <w:spacing w:line="360" w:lineRule="auto"/>
        <w:jc w:val="left"/>
        <w:rPr>
          <w:rFonts w:ascii="宋体" w:eastAsia="宋体" w:hAnsi="宋体" w:cs="MingLiU"/>
          <w:kern w:val="0"/>
          <w:sz w:val="32"/>
          <w:szCs w:val="32"/>
          <w:lang w:val="zh-CN"/>
        </w:rPr>
      </w:pPr>
    </w:p>
    <w:p w:rsidR="00A73074" w:rsidRDefault="00A73074">
      <w:pPr>
        <w:spacing w:line="360" w:lineRule="auto"/>
        <w:jc w:val="left"/>
        <w:rPr>
          <w:rFonts w:ascii="宋体" w:eastAsia="宋体" w:hAnsi="宋体" w:cs="MingLiU"/>
          <w:kern w:val="0"/>
          <w:sz w:val="32"/>
          <w:szCs w:val="32"/>
          <w:lang w:val="zh-CN"/>
        </w:rPr>
      </w:pPr>
    </w:p>
    <w:p w:rsidR="00A73074" w:rsidRDefault="00CF0EBA">
      <w:pPr>
        <w:spacing w:line="360" w:lineRule="auto"/>
        <w:jc w:val="center"/>
        <w:rPr>
          <w:rFonts w:ascii="宋体" w:eastAsia="宋体" w:hAnsi="宋体" w:cs="MingLiU"/>
          <w:b/>
          <w:bCs/>
          <w:kern w:val="0"/>
          <w:sz w:val="44"/>
          <w:szCs w:val="44"/>
          <w:lang w:val="zh-CN"/>
        </w:rPr>
      </w:pPr>
      <w:r>
        <w:rPr>
          <w:rFonts w:ascii="宋体" w:eastAsia="宋体" w:hAnsi="宋体" w:cs="MingLiU" w:hint="eastAsia"/>
          <w:b/>
          <w:bCs/>
          <w:kern w:val="0"/>
          <w:sz w:val="44"/>
          <w:szCs w:val="44"/>
          <w:lang w:val="zh-CN"/>
        </w:rPr>
        <w:t>广州市生活垃圾处理设施建设</w:t>
      </w:r>
    </w:p>
    <w:p w:rsidR="00A73074" w:rsidRDefault="00CF0EBA">
      <w:pPr>
        <w:spacing w:line="360" w:lineRule="auto"/>
        <w:jc w:val="center"/>
        <w:rPr>
          <w:rFonts w:ascii="宋体" w:eastAsia="宋体" w:hAnsi="宋体" w:cs="MingLiU"/>
          <w:b/>
          <w:bCs/>
          <w:kern w:val="0"/>
          <w:sz w:val="44"/>
          <w:szCs w:val="44"/>
          <w:lang w:val="zh-CN"/>
        </w:rPr>
      </w:pPr>
      <w:r>
        <w:rPr>
          <w:rFonts w:ascii="宋体" w:eastAsia="宋体" w:hAnsi="宋体" w:cs="MingLiU" w:hint="eastAsia"/>
          <w:b/>
          <w:bCs/>
          <w:kern w:val="0"/>
          <w:sz w:val="44"/>
          <w:szCs w:val="44"/>
          <w:lang w:val="zh-CN"/>
        </w:rPr>
        <w:t>“十四五”专项规划</w:t>
      </w:r>
    </w:p>
    <w:p w:rsidR="00A73074" w:rsidRDefault="00A73074">
      <w:pPr>
        <w:spacing w:line="360" w:lineRule="auto"/>
        <w:jc w:val="center"/>
        <w:rPr>
          <w:rFonts w:ascii="宋体" w:eastAsia="宋体" w:hAnsi="宋体" w:cs="MingLiU"/>
          <w:b/>
          <w:bCs/>
          <w:kern w:val="0"/>
          <w:sz w:val="44"/>
          <w:szCs w:val="44"/>
          <w:lang w:val="zh-CN"/>
        </w:rPr>
      </w:pPr>
    </w:p>
    <w:p w:rsidR="00A73074" w:rsidRDefault="00CF0EBA">
      <w:pPr>
        <w:spacing w:line="360" w:lineRule="auto"/>
        <w:jc w:val="center"/>
        <w:rPr>
          <w:rFonts w:ascii="宋体" w:eastAsia="宋体" w:hAnsi="宋体" w:cs="MingLiU"/>
          <w:kern w:val="0"/>
          <w:sz w:val="32"/>
          <w:szCs w:val="32"/>
          <w:lang w:val="zh-CN"/>
        </w:rPr>
      </w:pPr>
      <w:r>
        <w:rPr>
          <w:rFonts w:ascii="宋体" w:eastAsia="宋体" w:hAnsi="宋体" w:cs="MingLiU"/>
          <w:b/>
          <w:bCs/>
          <w:kern w:val="0"/>
          <w:sz w:val="40"/>
          <w:szCs w:val="44"/>
          <w:lang w:val="zh-CN"/>
        </w:rPr>
        <w:t>（</w:t>
      </w:r>
      <w:r>
        <w:rPr>
          <w:rFonts w:ascii="宋体" w:eastAsia="宋体" w:hAnsi="宋体" w:cs="MingLiU" w:hint="eastAsia"/>
          <w:b/>
          <w:bCs/>
          <w:kern w:val="0"/>
          <w:sz w:val="40"/>
          <w:szCs w:val="44"/>
          <w:lang w:val="zh-CN"/>
        </w:rPr>
        <w:t>征求意见</w:t>
      </w:r>
      <w:r>
        <w:rPr>
          <w:rFonts w:ascii="宋体" w:eastAsia="宋体" w:hAnsi="宋体" w:cs="MingLiU"/>
          <w:b/>
          <w:bCs/>
          <w:kern w:val="0"/>
          <w:sz w:val="40"/>
          <w:szCs w:val="44"/>
          <w:lang w:val="zh-CN"/>
        </w:rPr>
        <w:t>稿）</w:t>
      </w:r>
    </w:p>
    <w:p w:rsidR="00A73074" w:rsidRDefault="00A73074">
      <w:pPr>
        <w:spacing w:line="360" w:lineRule="auto"/>
        <w:jc w:val="center"/>
        <w:rPr>
          <w:rFonts w:ascii="宋体" w:eastAsia="宋体" w:hAnsi="宋体" w:cs="MingLiU"/>
          <w:kern w:val="0"/>
          <w:sz w:val="32"/>
          <w:szCs w:val="32"/>
          <w:lang w:val="zh-CN"/>
        </w:rPr>
      </w:pPr>
    </w:p>
    <w:p w:rsidR="00A73074" w:rsidRDefault="00A73074">
      <w:pPr>
        <w:spacing w:line="360" w:lineRule="auto"/>
        <w:jc w:val="center"/>
        <w:rPr>
          <w:rFonts w:ascii="宋体" w:eastAsia="宋体" w:hAnsi="宋体" w:cs="MingLiU"/>
          <w:kern w:val="0"/>
          <w:sz w:val="32"/>
          <w:szCs w:val="32"/>
          <w:lang w:val="zh-CN"/>
        </w:rPr>
      </w:pPr>
      <w:bookmarkStart w:id="0" w:name="_GoBack"/>
      <w:bookmarkEnd w:id="0"/>
    </w:p>
    <w:p w:rsidR="00A73074" w:rsidRDefault="00A73074">
      <w:pPr>
        <w:spacing w:line="360" w:lineRule="auto"/>
        <w:jc w:val="center"/>
        <w:rPr>
          <w:rFonts w:ascii="宋体" w:eastAsia="宋体" w:hAnsi="宋体" w:cs="MingLiU"/>
          <w:kern w:val="0"/>
          <w:sz w:val="32"/>
          <w:szCs w:val="32"/>
          <w:lang w:val="zh-CN"/>
        </w:rPr>
      </w:pPr>
    </w:p>
    <w:p w:rsidR="00A73074" w:rsidRDefault="00A73074">
      <w:pPr>
        <w:spacing w:line="360" w:lineRule="auto"/>
        <w:jc w:val="center"/>
        <w:rPr>
          <w:rFonts w:ascii="宋体" w:eastAsia="宋体" w:hAnsi="宋体" w:cs="MingLiU"/>
          <w:kern w:val="0"/>
          <w:sz w:val="32"/>
          <w:szCs w:val="32"/>
          <w:lang w:val="zh-CN"/>
        </w:rPr>
      </w:pPr>
    </w:p>
    <w:p w:rsidR="00A73074" w:rsidRDefault="00A73074">
      <w:pPr>
        <w:spacing w:line="360" w:lineRule="auto"/>
        <w:jc w:val="center"/>
        <w:rPr>
          <w:rFonts w:ascii="宋体" w:eastAsia="宋体" w:hAnsi="宋体" w:cs="MingLiU"/>
          <w:kern w:val="0"/>
          <w:sz w:val="32"/>
          <w:szCs w:val="32"/>
          <w:lang w:val="zh-CN"/>
        </w:rPr>
      </w:pPr>
    </w:p>
    <w:p w:rsidR="00A73074" w:rsidRDefault="00A73074">
      <w:pPr>
        <w:spacing w:line="360" w:lineRule="auto"/>
        <w:jc w:val="center"/>
        <w:rPr>
          <w:rFonts w:ascii="宋体" w:eastAsia="宋体" w:hAnsi="宋体" w:cs="MingLiU"/>
          <w:kern w:val="0"/>
          <w:sz w:val="32"/>
          <w:szCs w:val="32"/>
          <w:lang w:val="zh-CN"/>
        </w:rPr>
      </w:pPr>
    </w:p>
    <w:p w:rsidR="00A73074" w:rsidRDefault="00A73074">
      <w:pPr>
        <w:spacing w:line="360" w:lineRule="auto"/>
        <w:jc w:val="center"/>
        <w:rPr>
          <w:rFonts w:ascii="宋体" w:eastAsia="宋体" w:hAnsi="宋体" w:cs="MingLiU"/>
          <w:kern w:val="0"/>
          <w:sz w:val="32"/>
          <w:szCs w:val="32"/>
          <w:lang w:val="zh-CN"/>
        </w:rPr>
      </w:pPr>
    </w:p>
    <w:p w:rsidR="00A73074" w:rsidRDefault="00A73074">
      <w:pPr>
        <w:spacing w:line="360" w:lineRule="auto"/>
        <w:jc w:val="center"/>
        <w:rPr>
          <w:rFonts w:ascii="宋体" w:eastAsia="宋体" w:hAnsi="宋体" w:cs="MingLiU"/>
          <w:kern w:val="0"/>
          <w:sz w:val="32"/>
          <w:szCs w:val="32"/>
          <w:lang w:val="zh-CN"/>
        </w:rPr>
      </w:pPr>
    </w:p>
    <w:p w:rsidR="00A73074" w:rsidRDefault="00CF0EBA">
      <w:pPr>
        <w:spacing w:line="360" w:lineRule="auto"/>
        <w:jc w:val="center"/>
        <w:rPr>
          <w:rFonts w:ascii="宋体" w:eastAsia="宋体" w:hAnsi="宋体" w:cs="MingLiU"/>
          <w:kern w:val="0"/>
          <w:sz w:val="32"/>
          <w:szCs w:val="32"/>
          <w:lang w:val="zh-CN"/>
        </w:rPr>
      </w:pPr>
      <w:r>
        <w:rPr>
          <w:rFonts w:ascii="宋体" w:eastAsia="宋体" w:hAnsi="宋体" w:cs="MingLiU" w:hint="eastAsia"/>
          <w:kern w:val="0"/>
          <w:sz w:val="32"/>
          <w:szCs w:val="32"/>
          <w:lang w:val="zh-CN"/>
        </w:rPr>
        <w:t>广州市城市管理和综合执法局</w:t>
      </w:r>
    </w:p>
    <w:p w:rsidR="00A73074" w:rsidRDefault="00CF0EBA">
      <w:pPr>
        <w:spacing w:line="360" w:lineRule="auto"/>
        <w:jc w:val="center"/>
        <w:rPr>
          <w:rFonts w:ascii="宋体" w:eastAsia="宋体" w:hAnsi="宋体" w:cs="MingLiU"/>
          <w:kern w:val="0"/>
          <w:sz w:val="32"/>
          <w:szCs w:val="32"/>
          <w:lang w:val="zh-CN"/>
        </w:rPr>
      </w:pPr>
      <w:r>
        <w:rPr>
          <w:rFonts w:ascii="宋体" w:eastAsia="宋体" w:hAnsi="宋体" w:cs="MingLiU" w:hint="eastAsia"/>
          <w:kern w:val="0"/>
          <w:sz w:val="32"/>
          <w:szCs w:val="32"/>
          <w:lang w:val="zh-CN"/>
        </w:rPr>
        <w:t>广州市城市规划勘测设计研究院</w:t>
      </w:r>
    </w:p>
    <w:p w:rsidR="00A73074" w:rsidRDefault="00CF0EBA">
      <w:pPr>
        <w:spacing w:line="360" w:lineRule="auto"/>
        <w:jc w:val="center"/>
        <w:rPr>
          <w:rFonts w:ascii="宋体" w:eastAsia="宋体" w:hAnsi="宋体" w:cs="MingLiU"/>
          <w:kern w:val="0"/>
          <w:sz w:val="32"/>
          <w:szCs w:val="32"/>
          <w:lang w:val="zh-CN"/>
        </w:rPr>
      </w:pPr>
      <w:r>
        <w:rPr>
          <w:rFonts w:ascii="宋体" w:eastAsia="宋体" w:hAnsi="宋体" w:cs="MingLiU"/>
          <w:kern w:val="0"/>
          <w:sz w:val="32"/>
          <w:szCs w:val="32"/>
          <w:lang w:val="zh-CN"/>
        </w:rPr>
        <w:t>2022.03</w:t>
      </w:r>
      <w:r>
        <w:rPr>
          <w:rFonts w:ascii="宋体" w:eastAsia="宋体" w:hAnsi="宋体" w:cs="MingLiU"/>
          <w:kern w:val="0"/>
          <w:sz w:val="32"/>
          <w:szCs w:val="32"/>
          <w:lang w:val="zh-CN"/>
        </w:rPr>
        <w:br w:type="page"/>
      </w:r>
    </w:p>
    <w:p w:rsidR="00A73074" w:rsidRDefault="00A73074">
      <w:pPr>
        <w:spacing w:line="360" w:lineRule="auto"/>
        <w:jc w:val="left"/>
        <w:rPr>
          <w:rFonts w:ascii="宋体" w:eastAsia="宋体" w:hAnsi="宋体" w:cs="MingLiU"/>
          <w:kern w:val="0"/>
          <w:sz w:val="32"/>
          <w:szCs w:val="32"/>
          <w:lang w:val="zh-CN"/>
        </w:rPr>
        <w:sectPr w:rsidR="00A73074">
          <w:footerReference w:type="default" r:id="rId8"/>
          <w:pgSz w:w="11906" w:h="16838"/>
          <w:pgMar w:top="1440" w:right="1800" w:bottom="1440" w:left="1800" w:header="851" w:footer="992" w:gutter="0"/>
          <w:pgNumType w:fmt="numberInDash"/>
          <w:cols w:space="425"/>
          <w:docGrid w:type="lines" w:linePitch="312"/>
        </w:sectPr>
      </w:pPr>
    </w:p>
    <w:sdt>
      <w:sdtPr>
        <w:rPr>
          <w:rFonts w:ascii="宋体" w:eastAsia="宋体" w:hAnsi="宋体" w:cstheme="minorBidi"/>
          <w:color w:val="auto"/>
          <w:kern w:val="2"/>
          <w:sz w:val="21"/>
          <w:szCs w:val="22"/>
          <w:lang w:val="zh-CN"/>
        </w:rPr>
        <w:id w:val="-1012142430"/>
        <w:docPartObj>
          <w:docPartGallery w:val="Table of Contents"/>
          <w:docPartUnique/>
        </w:docPartObj>
      </w:sdtPr>
      <w:sdtEndPr>
        <w:rPr>
          <w:b/>
          <w:bCs/>
        </w:rPr>
      </w:sdtEndPr>
      <w:sdtContent>
        <w:p w:rsidR="00A73074" w:rsidRDefault="00CF0EBA">
          <w:pPr>
            <w:pStyle w:val="TOC1"/>
            <w:spacing w:line="360" w:lineRule="auto"/>
            <w:jc w:val="center"/>
            <w:rPr>
              <w:rFonts w:ascii="宋体" w:eastAsia="宋体" w:hAnsi="宋体"/>
              <w:b/>
              <w:bCs/>
              <w:color w:val="auto"/>
              <w:sz w:val="36"/>
              <w:szCs w:val="36"/>
            </w:rPr>
          </w:pPr>
          <w:r>
            <w:rPr>
              <w:rFonts w:ascii="宋体" w:eastAsia="宋体" w:hAnsi="宋体"/>
              <w:b/>
              <w:bCs/>
              <w:color w:val="auto"/>
              <w:sz w:val="36"/>
              <w:szCs w:val="36"/>
              <w:lang w:val="zh-CN"/>
            </w:rPr>
            <w:t>目录</w:t>
          </w:r>
        </w:p>
        <w:p w:rsidR="00A73074" w:rsidRDefault="00A73074">
          <w:pPr>
            <w:pStyle w:val="10"/>
            <w:tabs>
              <w:tab w:val="right" w:leader="dot" w:pos="8296"/>
            </w:tabs>
            <w:rPr>
              <w:sz w:val="30"/>
              <w:szCs w:val="30"/>
            </w:rPr>
          </w:pPr>
          <w:r>
            <w:rPr>
              <w:rFonts w:ascii="宋体" w:eastAsia="宋体" w:hAnsi="宋体"/>
              <w:sz w:val="30"/>
              <w:szCs w:val="30"/>
            </w:rPr>
            <w:fldChar w:fldCharType="begin"/>
          </w:r>
          <w:r w:rsidR="00CF0EBA">
            <w:rPr>
              <w:rFonts w:ascii="宋体" w:eastAsia="宋体" w:hAnsi="宋体"/>
              <w:sz w:val="30"/>
              <w:szCs w:val="30"/>
            </w:rPr>
            <w:instrText xml:space="preserve"> TOC \o "1-2" \h \z \u </w:instrText>
          </w:r>
          <w:r>
            <w:rPr>
              <w:rFonts w:ascii="宋体" w:eastAsia="宋体" w:hAnsi="宋体"/>
              <w:sz w:val="30"/>
              <w:szCs w:val="30"/>
            </w:rPr>
            <w:fldChar w:fldCharType="separate"/>
          </w:r>
          <w:hyperlink w:anchor="_Toc97711965" w:history="1">
            <w:r w:rsidR="00CF0EBA">
              <w:rPr>
                <w:rStyle w:val="ab"/>
                <w:rFonts w:ascii="宋体" w:hAnsi="宋体" w:hint="eastAsia"/>
                <w:sz w:val="30"/>
                <w:szCs w:val="30"/>
              </w:rPr>
              <w:t>一、规划背景</w:t>
            </w:r>
            <w:r w:rsidR="00CF0EBA">
              <w:rPr>
                <w:sz w:val="30"/>
                <w:szCs w:val="30"/>
              </w:rPr>
              <w:tab/>
            </w:r>
            <w:r>
              <w:rPr>
                <w:sz w:val="30"/>
                <w:szCs w:val="30"/>
              </w:rPr>
              <w:fldChar w:fldCharType="begin"/>
            </w:r>
            <w:r w:rsidR="00CF0EBA">
              <w:rPr>
                <w:sz w:val="30"/>
                <w:szCs w:val="30"/>
              </w:rPr>
              <w:instrText xml:space="preserve"> PAGEREF _Toc97711965 \h </w:instrText>
            </w:r>
            <w:r>
              <w:rPr>
                <w:sz w:val="30"/>
                <w:szCs w:val="30"/>
              </w:rPr>
            </w:r>
            <w:r>
              <w:rPr>
                <w:sz w:val="30"/>
                <w:szCs w:val="30"/>
              </w:rPr>
              <w:fldChar w:fldCharType="separate"/>
            </w:r>
            <w:r w:rsidR="00CF0EBA">
              <w:rPr>
                <w:sz w:val="30"/>
                <w:szCs w:val="30"/>
              </w:rPr>
              <w:t>- 1 -</w:t>
            </w:r>
            <w:r>
              <w:rPr>
                <w:sz w:val="30"/>
                <w:szCs w:val="30"/>
              </w:rPr>
              <w:fldChar w:fldCharType="end"/>
            </w:r>
          </w:hyperlink>
        </w:p>
        <w:p w:rsidR="00A73074" w:rsidRDefault="00A73074">
          <w:pPr>
            <w:pStyle w:val="10"/>
            <w:tabs>
              <w:tab w:val="right" w:leader="dot" w:pos="8296"/>
            </w:tabs>
            <w:rPr>
              <w:sz w:val="30"/>
              <w:szCs w:val="30"/>
            </w:rPr>
          </w:pPr>
          <w:hyperlink w:anchor="_Toc97711966" w:history="1">
            <w:r w:rsidR="00CF0EBA">
              <w:rPr>
                <w:rStyle w:val="ab"/>
                <w:rFonts w:ascii="宋体" w:hAnsi="宋体" w:hint="eastAsia"/>
                <w:sz w:val="30"/>
                <w:szCs w:val="30"/>
              </w:rPr>
              <w:t>二、机遇和挑战</w:t>
            </w:r>
            <w:r w:rsidR="00CF0EBA">
              <w:rPr>
                <w:sz w:val="30"/>
                <w:szCs w:val="30"/>
              </w:rPr>
              <w:tab/>
            </w:r>
            <w:r>
              <w:rPr>
                <w:sz w:val="30"/>
                <w:szCs w:val="30"/>
              </w:rPr>
              <w:fldChar w:fldCharType="begin"/>
            </w:r>
            <w:r w:rsidR="00CF0EBA">
              <w:rPr>
                <w:sz w:val="30"/>
                <w:szCs w:val="30"/>
              </w:rPr>
              <w:instrText xml:space="preserve"> PAGEREF _Toc97711966 \h </w:instrText>
            </w:r>
            <w:r>
              <w:rPr>
                <w:sz w:val="30"/>
                <w:szCs w:val="30"/>
              </w:rPr>
            </w:r>
            <w:r>
              <w:rPr>
                <w:sz w:val="30"/>
                <w:szCs w:val="30"/>
              </w:rPr>
              <w:fldChar w:fldCharType="separate"/>
            </w:r>
            <w:r w:rsidR="00CF0EBA">
              <w:rPr>
                <w:sz w:val="30"/>
                <w:szCs w:val="30"/>
              </w:rPr>
              <w:t>- 2 -</w:t>
            </w:r>
            <w:r>
              <w:rPr>
                <w:sz w:val="30"/>
                <w:szCs w:val="30"/>
              </w:rPr>
              <w:fldChar w:fldCharType="end"/>
            </w:r>
          </w:hyperlink>
        </w:p>
        <w:p w:rsidR="00A73074" w:rsidRDefault="00A73074">
          <w:pPr>
            <w:pStyle w:val="10"/>
            <w:tabs>
              <w:tab w:val="right" w:leader="dot" w:pos="8296"/>
            </w:tabs>
            <w:rPr>
              <w:sz w:val="30"/>
              <w:szCs w:val="30"/>
            </w:rPr>
          </w:pPr>
          <w:hyperlink w:anchor="_Toc97711967" w:history="1">
            <w:r w:rsidR="00CF0EBA">
              <w:rPr>
                <w:rStyle w:val="ab"/>
                <w:rFonts w:ascii="宋体" w:hAnsi="宋体" w:hint="eastAsia"/>
                <w:sz w:val="30"/>
                <w:szCs w:val="30"/>
              </w:rPr>
              <w:t>三、总体要求</w:t>
            </w:r>
            <w:r w:rsidR="00CF0EBA">
              <w:rPr>
                <w:sz w:val="30"/>
                <w:szCs w:val="30"/>
              </w:rPr>
              <w:tab/>
            </w:r>
            <w:r>
              <w:rPr>
                <w:sz w:val="30"/>
                <w:szCs w:val="30"/>
              </w:rPr>
              <w:fldChar w:fldCharType="begin"/>
            </w:r>
            <w:r w:rsidR="00CF0EBA">
              <w:rPr>
                <w:sz w:val="30"/>
                <w:szCs w:val="30"/>
              </w:rPr>
              <w:instrText xml:space="preserve"> PAGEREF _Toc97711967 \h </w:instrText>
            </w:r>
            <w:r>
              <w:rPr>
                <w:sz w:val="30"/>
                <w:szCs w:val="30"/>
              </w:rPr>
            </w:r>
            <w:r>
              <w:rPr>
                <w:sz w:val="30"/>
                <w:szCs w:val="30"/>
              </w:rPr>
              <w:fldChar w:fldCharType="separate"/>
            </w:r>
            <w:r w:rsidR="00CF0EBA">
              <w:rPr>
                <w:sz w:val="30"/>
                <w:szCs w:val="30"/>
              </w:rPr>
              <w:t>- 3 -</w:t>
            </w:r>
            <w:r>
              <w:rPr>
                <w:sz w:val="30"/>
                <w:szCs w:val="30"/>
              </w:rPr>
              <w:fldChar w:fldCharType="end"/>
            </w:r>
          </w:hyperlink>
        </w:p>
        <w:p w:rsidR="00A73074" w:rsidRDefault="00A73074">
          <w:pPr>
            <w:pStyle w:val="20"/>
            <w:tabs>
              <w:tab w:val="right" w:leader="dot" w:pos="8296"/>
            </w:tabs>
            <w:rPr>
              <w:sz w:val="30"/>
              <w:szCs w:val="30"/>
            </w:rPr>
          </w:pPr>
          <w:hyperlink w:anchor="_Toc97711968" w:history="1">
            <w:r w:rsidR="00CF0EBA">
              <w:rPr>
                <w:rStyle w:val="ab"/>
                <w:rFonts w:ascii="宋体" w:eastAsia="宋体" w:hAnsi="宋体" w:hint="eastAsia"/>
                <w:sz w:val="30"/>
                <w:szCs w:val="30"/>
              </w:rPr>
              <w:t>（一）指导思想</w:t>
            </w:r>
            <w:r w:rsidR="00CF0EBA">
              <w:rPr>
                <w:sz w:val="30"/>
                <w:szCs w:val="30"/>
              </w:rPr>
              <w:tab/>
            </w:r>
            <w:r>
              <w:rPr>
                <w:sz w:val="30"/>
                <w:szCs w:val="30"/>
              </w:rPr>
              <w:fldChar w:fldCharType="begin"/>
            </w:r>
            <w:r w:rsidR="00CF0EBA">
              <w:rPr>
                <w:sz w:val="30"/>
                <w:szCs w:val="30"/>
              </w:rPr>
              <w:instrText xml:space="preserve"> PAGEREF _Toc97711968 \h </w:instrText>
            </w:r>
            <w:r>
              <w:rPr>
                <w:sz w:val="30"/>
                <w:szCs w:val="30"/>
              </w:rPr>
            </w:r>
            <w:r>
              <w:rPr>
                <w:sz w:val="30"/>
                <w:szCs w:val="30"/>
              </w:rPr>
              <w:fldChar w:fldCharType="separate"/>
            </w:r>
            <w:r w:rsidR="00CF0EBA">
              <w:rPr>
                <w:sz w:val="30"/>
                <w:szCs w:val="30"/>
              </w:rPr>
              <w:t>- 3 -</w:t>
            </w:r>
            <w:r>
              <w:rPr>
                <w:sz w:val="30"/>
                <w:szCs w:val="30"/>
              </w:rPr>
              <w:fldChar w:fldCharType="end"/>
            </w:r>
          </w:hyperlink>
        </w:p>
        <w:p w:rsidR="00A73074" w:rsidRDefault="00A73074">
          <w:pPr>
            <w:pStyle w:val="20"/>
            <w:tabs>
              <w:tab w:val="right" w:leader="dot" w:pos="8296"/>
            </w:tabs>
            <w:rPr>
              <w:sz w:val="30"/>
              <w:szCs w:val="30"/>
            </w:rPr>
          </w:pPr>
          <w:hyperlink w:anchor="_Toc97711969" w:history="1">
            <w:r w:rsidR="00CF0EBA">
              <w:rPr>
                <w:rStyle w:val="ab"/>
                <w:rFonts w:ascii="宋体" w:eastAsia="宋体" w:hAnsi="宋体" w:hint="eastAsia"/>
                <w:sz w:val="30"/>
                <w:szCs w:val="30"/>
              </w:rPr>
              <w:t>（二）目标</w:t>
            </w:r>
            <w:r w:rsidR="00CF0EBA">
              <w:rPr>
                <w:sz w:val="30"/>
                <w:szCs w:val="30"/>
              </w:rPr>
              <w:tab/>
            </w:r>
            <w:r>
              <w:rPr>
                <w:sz w:val="30"/>
                <w:szCs w:val="30"/>
              </w:rPr>
              <w:fldChar w:fldCharType="begin"/>
            </w:r>
            <w:r w:rsidR="00CF0EBA">
              <w:rPr>
                <w:sz w:val="30"/>
                <w:szCs w:val="30"/>
              </w:rPr>
              <w:instrText xml:space="preserve"> PAGEREF _Toc97711969 \h </w:instrText>
            </w:r>
            <w:r>
              <w:rPr>
                <w:sz w:val="30"/>
                <w:szCs w:val="30"/>
              </w:rPr>
            </w:r>
            <w:r>
              <w:rPr>
                <w:sz w:val="30"/>
                <w:szCs w:val="30"/>
              </w:rPr>
              <w:fldChar w:fldCharType="separate"/>
            </w:r>
            <w:r w:rsidR="00CF0EBA">
              <w:rPr>
                <w:sz w:val="30"/>
                <w:szCs w:val="30"/>
              </w:rPr>
              <w:t>- 3 -</w:t>
            </w:r>
            <w:r>
              <w:rPr>
                <w:sz w:val="30"/>
                <w:szCs w:val="30"/>
              </w:rPr>
              <w:fldChar w:fldCharType="end"/>
            </w:r>
          </w:hyperlink>
        </w:p>
        <w:p w:rsidR="00A73074" w:rsidRDefault="00A73074">
          <w:pPr>
            <w:pStyle w:val="10"/>
            <w:tabs>
              <w:tab w:val="right" w:leader="dot" w:pos="8296"/>
            </w:tabs>
            <w:rPr>
              <w:sz w:val="30"/>
              <w:szCs w:val="30"/>
            </w:rPr>
          </w:pPr>
          <w:hyperlink w:anchor="_Toc97711970" w:history="1">
            <w:r w:rsidR="00CF0EBA">
              <w:rPr>
                <w:rStyle w:val="ab"/>
                <w:rFonts w:ascii="宋体" w:hAnsi="宋体" w:hint="eastAsia"/>
                <w:sz w:val="30"/>
                <w:szCs w:val="30"/>
              </w:rPr>
              <w:t>四、生活垃圾处理设施建设</w:t>
            </w:r>
            <w:r w:rsidR="00CF0EBA">
              <w:rPr>
                <w:sz w:val="30"/>
                <w:szCs w:val="30"/>
              </w:rPr>
              <w:tab/>
            </w:r>
            <w:r>
              <w:rPr>
                <w:sz w:val="30"/>
                <w:szCs w:val="30"/>
              </w:rPr>
              <w:fldChar w:fldCharType="begin"/>
            </w:r>
            <w:r w:rsidR="00CF0EBA">
              <w:rPr>
                <w:sz w:val="30"/>
                <w:szCs w:val="30"/>
              </w:rPr>
              <w:instrText xml:space="preserve"> PAGEREF _Toc97711970 \h </w:instrText>
            </w:r>
            <w:r>
              <w:rPr>
                <w:sz w:val="30"/>
                <w:szCs w:val="30"/>
              </w:rPr>
            </w:r>
            <w:r>
              <w:rPr>
                <w:sz w:val="30"/>
                <w:szCs w:val="30"/>
              </w:rPr>
              <w:fldChar w:fldCharType="separate"/>
            </w:r>
            <w:r w:rsidR="00CF0EBA">
              <w:rPr>
                <w:sz w:val="30"/>
                <w:szCs w:val="30"/>
              </w:rPr>
              <w:t>- 5 -</w:t>
            </w:r>
            <w:r>
              <w:rPr>
                <w:sz w:val="30"/>
                <w:szCs w:val="30"/>
              </w:rPr>
              <w:fldChar w:fldCharType="end"/>
            </w:r>
          </w:hyperlink>
        </w:p>
        <w:p w:rsidR="00A73074" w:rsidRDefault="00A73074">
          <w:pPr>
            <w:pStyle w:val="20"/>
            <w:tabs>
              <w:tab w:val="right" w:leader="dot" w:pos="8296"/>
            </w:tabs>
            <w:rPr>
              <w:sz w:val="30"/>
              <w:szCs w:val="30"/>
            </w:rPr>
          </w:pPr>
          <w:hyperlink w:anchor="_Toc97711971" w:history="1">
            <w:r w:rsidR="00CF0EBA">
              <w:rPr>
                <w:rStyle w:val="ab"/>
                <w:rFonts w:ascii="宋体" w:eastAsia="宋体" w:hAnsi="宋体" w:hint="eastAsia"/>
                <w:sz w:val="30"/>
                <w:szCs w:val="30"/>
              </w:rPr>
              <w:t>（一）循环经济产业园</w:t>
            </w:r>
            <w:r w:rsidR="00CF0EBA">
              <w:rPr>
                <w:sz w:val="30"/>
                <w:szCs w:val="30"/>
              </w:rPr>
              <w:tab/>
            </w:r>
            <w:r>
              <w:rPr>
                <w:sz w:val="30"/>
                <w:szCs w:val="30"/>
              </w:rPr>
              <w:fldChar w:fldCharType="begin"/>
            </w:r>
            <w:r w:rsidR="00CF0EBA">
              <w:rPr>
                <w:sz w:val="30"/>
                <w:szCs w:val="30"/>
              </w:rPr>
              <w:instrText xml:space="preserve"> PAGEREF _Toc97711971 \h </w:instrText>
            </w:r>
            <w:r>
              <w:rPr>
                <w:sz w:val="30"/>
                <w:szCs w:val="30"/>
              </w:rPr>
            </w:r>
            <w:r>
              <w:rPr>
                <w:sz w:val="30"/>
                <w:szCs w:val="30"/>
              </w:rPr>
              <w:fldChar w:fldCharType="separate"/>
            </w:r>
            <w:r w:rsidR="00CF0EBA">
              <w:rPr>
                <w:sz w:val="30"/>
                <w:szCs w:val="30"/>
              </w:rPr>
              <w:t>- 5 -</w:t>
            </w:r>
            <w:r>
              <w:rPr>
                <w:sz w:val="30"/>
                <w:szCs w:val="30"/>
              </w:rPr>
              <w:fldChar w:fldCharType="end"/>
            </w:r>
          </w:hyperlink>
        </w:p>
        <w:p w:rsidR="00A73074" w:rsidRDefault="00A73074">
          <w:pPr>
            <w:pStyle w:val="20"/>
            <w:tabs>
              <w:tab w:val="right" w:leader="dot" w:pos="8296"/>
            </w:tabs>
            <w:rPr>
              <w:sz w:val="30"/>
              <w:szCs w:val="30"/>
            </w:rPr>
          </w:pPr>
          <w:hyperlink w:anchor="_Toc97711972" w:history="1">
            <w:r w:rsidR="00CF0EBA">
              <w:rPr>
                <w:rStyle w:val="ab"/>
                <w:rFonts w:ascii="宋体" w:eastAsia="宋体" w:hAnsi="宋体" w:hint="eastAsia"/>
                <w:sz w:val="30"/>
                <w:szCs w:val="30"/>
              </w:rPr>
              <w:t>（二）生活垃圾处理设施</w:t>
            </w:r>
            <w:r w:rsidR="00CF0EBA">
              <w:rPr>
                <w:sz w:val="30"/>
                <w:szCs w:val="30"/>
              </w:rPr>
              <w:tab/>
            </w:r>
            <w:r>
              <w:rPr>
                <w:sz w:val="30"/>
                <w:szCs w:val="30"/>
              </w:rPr>
              <w:fldChar w:fldCharType="begin"/>
            </w:r>
            <w:r w:rsidR="00CF0EBA">
              <w:rPr>
                <w:sz w:val="30"/>
                <w:szCs w:val="30"/>
              </w:rPr>
              <w:instrText xml:space="preserve"> PAGEREF </w:instrText>
            </w:r>
            <w:r w:rsidR="00CF0EBA">
              <w:rPr>
                <w:sz w:val="30"/>
                <w:szCs w:val="30"/>
              </w:rPr>
              <w:instrText xml:space="preserve">_Toc97711972 \h </w:instrText>
            </w:r>
            <w:r>
              <w:rPr>
                <w:sz w:val="30"/>
                <w:szCs w:val="30"/>
              </w:rPr>
            </w:r>
            <w:r>
              <w:rPr>
                <w:sz w:val="30"/>
                <w:szCs w:val="30"/>
              </w:rPr>
              <w:fldChar w:fldCharType="separate"/>
            </w:r>
            <w:r w:rsidR="00CF0EBA">
              <w:rPr>
                <w:sz w:val="30"/>
                <w:szCs w:val="30"/>
              </w:rPr>
              <w:t>- 5 -</w:t>
            </w:r>
            <w:r>
              <w:rPr>
                <w:sz w:val="30"/>
                <w:szCs w:val="30"/>
              </w:rPr>
              <w:fldChar w:fldCharType="end"/>
            </w:r>
          </w:hyperlink>
        </w:p>
        <w:p w:rsidR="00A73074" w:rsidRDefault="00A73074">
          <w:pPr>
            <w:pStyle w:val="20"/>
            <w:tabs>
              <w:tab w:val="right" w:leader="dot" w:pos="8296"/>
            </w:tabs>
            <w:rPr>
              <w:sz w:val="30"/>
              <w:szCs w:val="30"/>
            </w:rPr>
          </w:pPr>
          <w:hyperlink w:anchor="_Toc97711973" w:history="1">
            <w:r w:rsidR="00CF0EBA">
              <w:rPr>
                <w:rStyle w:val="ab"/>
                <w:rFonts w:ascii="宋体" w:eastAsia="宋体" w:hAnsi="宋体" w:hint="eastAsia"/>
                <w:sz w:val="30"/>
                <w:szCs w:val="30"/>
              </w:rPr>
              <w:t>（三）二次废弃物处理</w:t>
            </w:r>
            <w:r w:rsidR="00CF0EBA">
              <w:rPr>
                <w:sz w:val="30"/>
                <w:szCs w:val="30"/>
              </w:rPr>
              <w:tab/>
            </w:r>
            <w:r>
              <w:rPr>
                <w:sz w:val="30"/>
                <w:szCs w:val="30"/>
              </w:rPr>
              <w:fldChar w:fldCharType="begin"/>
            </w:r>
            <w:r w:rsidR="00CF0EBA">
              <w:rPr>
                <w:sz w:val="30"/>
                <w:szCs w:val="30"/>
              </w:rPr>
              <w:instrText xml:space="preserve"> PAGEREF _Toc97711973 \h </w:instrText>
            </w:r>
            <w:r>
              <w:rPr>
                <w:sz w:val="30"/>
                <w:szCs w:val="30"/>
              </w:rPr>
            </w:r>
            <w:r>
              <w:rPr>
                <w:sz w:val="30"/>
                <w:szCs w:val="30"/>
              </w:rPr>
              <w:fldChar w:fldCharType="separate"/>
            </w:r>
            <w:r w:rsidR="00CF0EBA">
              <w:rPr>
                <w:sz w:val="30"/>
                <w:szCs w:val="30"/>
              </w:rPr>
              <w:t>- 8 -</w:t>
            </w:r>
            <w:r>
              <w:rPr>
                <w:sz w:val="30"/>
                <w:szCs w:val="30"/>
              </w:rPr>
              <w:fldChar w:fldCharType="end"/>
            </w:r>
          </w:hyperlink>
        </w:p>
        <w:p w:rsidR="00A73074" w:rsidRDefault="00A73074">
          <w:pPr>
            <w:pStyle w:val="20"/>
            <w:tabs>
              <w:tab w:val="right" w:leader="dot" w:pos="8296"/>
            </w:tabs>
            <w:rPr>
              <w:sz w:val="30"/>
              <w:szCs w:val="30"/>
            </w:rPr>
          </w:pPr>
          <w:hyperlink w:anchor="_Toc97711974" w:history="1">
            <w:r w:rsidR="00CF0EBA">
              <w:rPr>
                <w:rStyle w:val="ab"/>
                <w:rFonts w:ascii="宋体" w:eastAsia="宋体" w:hAnsi="宋体" w:hint="eastAsia"/>
                <w:sz w:val="30"/>
                <w:szCs w:val="30"/>
              </w:rPr>
              <w:t>（四）生活垃圾填埋场陈腐垃圾综合治理</w:t>
            </w:r>
            <w:r w:rsidR="00CF0EBA">
              <w:rPr>
                <w:sz w:val="30"/>
                <w:szCs w:val="30"/>
              </w:rPr>
              <w:tab/>
            </w:r>
            <w:r>
              <w:rPr>
                <w:sz w:val="30"/>
                <w:szCs w:val="30"/>
              </w:rPr>
              <w:fldChar w:fldCharType="begin"/>
            </w:r>
            <w:r w:rsidR="00CF0EBA">
              <w:rPr>
                <w:sz w:val="30"/>
                <w:szCs w:val="30"/>
              </w:rPr>
              <w:instrText xml:space="preserve"> PAGEREF _Toc97711974 \h </w:instrText>
            </w:r>
            <w:r>
              <w:rPr>
                <w:sz w:val="30"/>
                <w:szCs w:val="30"/>
              </w:rPr>
            </w:r>
            <w:r>
              <w:rPr>
                <w:sz w:val="30"/>
                <w:szCs w:val="30"/>
              </w:rPr>
              <w:fldChar w:fldCharType="separate"/>
            </w:r>
            <w:r w:rsidR="00CF0EBA">
              <w:rPr>
                <w:sz w:val="30"/>
                <w:szCs w:val="30"/>
              </w:rPr>
              <w:t>- 9 -</w:t>
            </w:r>
            <w:r>
              <w:rPr>
                <w:sz w:val="30"/>
                <w:szCs w:val="30"/>
              </w:rPr>
              <w:fldChar w:fldCharType="end"/>
            </w:r>
          </w:hyperlink>
        </w:p>
        <w:p w:rsidR="00A73074" w:rsidRDefault="00A73074">
          <w:pPr>
            <w:pStyle w:val="20"/>
            <w:tabs>
              <w:tab w:val="right" w:leader="dot" w:pos="8296"/>
            </w:tabs>
            <w:rPr>
              <w:sz w:val="30"/>
              <w:szCs w:val="30"/>
            </w:rPr>
          </w:pPr>
          <w:hyperlink w:anchor="_Toc97711975" w:history="1">
            <w:r w:rsidR="00CF0EBA">
              <w:rPr>
                <w:rStyle w:val="ab"/>
                <w:rFonts w:ascii="宋体" w:eastAsia="宋体" w:hAnsi="宋体" w:hint="eastAsia"/>
                <w:sz w:val="30"/>
                <w:szCs w:val="30"/>
              </w:rPr>
              <w:t>（五）生活垃圾处理设施建设远期规划</w:t>
            </w:r>
            <w:r w:rsidR="00CF0EBA">
              <w:rPr>
                <w:sz w:val="30"/>
                <w:szCs w:val="30"/>
              </w:rPr>
              <w:tab/>
            </w:r>
            <w:r>
              <w:rPr>
                <w:sz w:val="30"/>
                <w:szCs w:val="30"/>
              </w:rPr>
              <w:fldChar w:fldCharType="begin"/>
            </w:r>
            <w:r w:rsidR="00CF0EBA">
              <w:rPr>
                <w:sz w:val="30"/>
                <w:szCs w:val="30"/>
              </w:rPr>
              <w:instrText xml:space="preserve"> PAGEREF _Toc97711975 \h </w:instrText>
            </w:r>
            <w:r>
              <w:rPr>
                <w:sz w:val="30"/>
                <w:szCs w:val="30"/>
              </w:rPr>
            </w:r>
            <w:r>
              <w:rPr>
                <w:sz w:val="30"/>
                <w:szCs w:val="30"/>
              </w:rPr>
              <w:fldChar w:fldCharType="separate"/>
            </w:r>
            <w:r w:rsidR="00CF0EBA">
              <w:rPr>
                <w:sz w:val="30"/>
                <w:szCs w:val="30"/>
              </w:rPr>
              <w:t>- 10 -</w:t>
            </w:r>
            <w:r>
              <w:rPr>
                <w:sz w:val="30"/>
                <w:szCs w:val="30"/>
              </w:rPr>
              <w:fldChar w:fldCharType="end"/>
            </w:r>
          </w:hyperlink>
        </w:p>
        <w:p w:rsidR="00A73074" w:rsidRDefault="00A73074">
          <w:pPr>
            <w:pStyle w:val="10"/>
            <w:tabs>
              <w:tab w:val="left" w:pos="840"/>
              <w:tab w:val="right" w:leader="dot" w:pos="8296"/>
            </w:tabs>
            <w:rPr>
              <w:sz w:val="30"/>
              <w:szCs w:val="30"/>
            </w:rPr>
          </w:pPr>
          <w:hyperlink w:anchor="_Toc97711976" w:history="1">
            <w:r w:rsidR="00CF0EBA">
              <w:rPr>
                <w:rStyle w:val="ab"/>
                <w:rFonts w:ascii="宋体" w:hAnsi="宋体" w:hint="eastAsia"/>
                <w:sz w:val="30"/>
                <w:szCs w:val="30"/>
              </w:rPr>
              <w:t>五、</w:t>
            </w:r>
            <w:r w:rsidR="00CF0EBA">
              <w:rPr>
                <w:sz w:val="30"/>
                <w:szCs w:val="30"/>
              </w:rPr>
              <w:tab/>
            </w:r>
            <w:r w:rsidR="00CF0EBA">
              <w:rPr>
                <w:rStyle w:val="ab"/>
                <w:rFonts w:ascii="宋体" w:hAnsi="宋体" w:hint="eastAsia"/>
                <w:sz w:val="30"/>
                <w:szCs w:val="30"/>
              </w:rPr>
              <w:t>保障措施</w:t>
            </w:r>
            <w:r w:rsidR="00CF0EBA">
              <w:rPr>
                <w:sz w:val="30"/>
                <w:szCs w:val="30"/>
              </w:rPr>
              <w:tab/>
            </w:r>
            <w:r>
              <w:rPr>
                <w:sz w:val="30"/>
                <w:szCs w:val="30"/>
              </w:rPr>
              <w:fldChar w:fldCharType="begin"/>
            </w:r>
            <w:r w:rsidR="00CF0EBA">
              <w:rPr>
                <w:sz w:val="30"/>
                <w:szCs w:val="30"/>
              </w:rPr>
              <w:instrText xml:space="preserve"> PAGEREF _Toc97711976 \h </w:instrText>
            </w:r>
            <w:r>
              <w:rPr>
                <w:sz w:val="30"/>
                <w:szCs w:val="30"/>
              </w:rPr>
            </w:r>
            <w:r>
              <w:rPr>
                <w:sz w:val="30"/>
                <w:szCs w:val="30"/>
              </w:rPr>
              <w:fldChar w:fldCharType="separate"/>
            </w:r>
            <w:r w:rsidR="00CF0EBA">
              <w:rPr>
                <w:sz w:val="30"/>
                <w:szCs w:val="30"/>
              </w:rPr>
              <w:t>- 11 -</w:t>
            </w:r>
            <w:r>
              <w:rPr>
                <w:sz w:val="30"/>
                <w:szCs w:val="30"/>
              </w:rPr>
              <w:fldChar w:fldCharType="end"/>
            </w:r>
          </w:hyperlink>
        </w:p>
        <w:p w:rsidR="00A73074" w:rsidRDefault="00A73074">
          <w:pPr>
            <w:pStyle w:val="20"/>
            <w:tabs>
              <w:tab w:val="right" w:leader="dot" w:pos="8296"/>
            </w:tabs>
            <w:rPr>
              <w:sz w:val="30"/>
              <w:szCs w:val="30"/>
            </w:rPr>
          </w:pPr>
          <w:hyperlink w:anchor="_Toc97711977" w:history="1">
            <w:r w:rsidR="00CF0EBA">
              <w:rPr>
                <w:rStyle w:val="ab"/>
                <w:rFonts w:ascii="宋体" w:eastAsia="宋体" w:hAnsi="宋体" w:hint="eastAsia"/>
                <w:sz w:val="30"/>
                <w:szCs w:val="30"/>
              </w:rPr>
              <w:t>（一）加强组织领导</w:t>
            </w:r>
            <w:r w:rsidR="00CF0EBA">
              <w:rPr>
                <w:sz w:val="30"/>
                <w:szCs w:val="30"/>
              </w:rPr>
              <w:tab/>
            </w:r>
            <w:r>
              <w:rPr>
                <w:sz w:val="30"/>
                <w:szCs w:val="30"/>
              </w:rPr>
              <w:fldChar w:fldCharType="begin"/>
            </w:r>
            <w:r w:rsidR="00CF0EBA">
              <w:rPr>
                <w:sz w:val="30"/>
                <w:szCs w:val="30"/>
              </w:rPr>
              <w:instrText xml:space="preserve"> PAGEREF _Toc97711977 \h </w:instrText>
            </w:r>
            <w:r>
              <w:rPr>
                <w:sz w:val="30"/>
                <w:szCs w:val="30"/>
              </w:rPr>
            </w:r>
            <w:r>
              <w:rPr>
                <w:sz w:val="30"/>
                <w:szCs w:val="30"/>
              </w:rPr>
              <w:fldChar w:fldCharType="separate"/>
            </w:r>
            <w:r w:rsidR="00CF0EBA">
              <w:rPr>
                <w:sz w:val="30"/>
                <w:szCs w:val="30"/>
              </w:rPr>
              <w:t>- 11 -</w:t>
            </w:r>
            <w:r>
              <w:rPr>
                <w:sz w:val="30"/>
                <w:szCs w:val="30"/>
              </w:rPr>
              <w:fldChar w:fldCharType="end"/>
            </w:r>
          </w:hyperlink>
        </w:p>
        <w:p w:rsidR="00A73074" w:rsidRDefault="00A73074">
          <w:pPr>
            <w:pStyle w:val="20"/>
            <w:tabs>
              <w:tab w:val="right" w:leader="dot" w:pos="8296"/>
            </w:tabs>
            <w:rPr>
              <w:sz w:val="30"/>
              <w:szCs w:val="30"/>
            </w:rPr>
          </w:pPr>
          <w:hyperlink w:anchor="_Toc97711978" w:history="1">
            <w:r w:rsidR="00CF0EBA">
              <w:rPr>
                <w:rStyle w:val="ab"/>
                <w:rFonts w:ascii="宋体" w:eastAsia="宋体" w:hAnsi="宋体" w:hint="eastAsia"/>
                <w:sz w:val="30"/>
                <w:szCs w:val="30"/>
              </w:rPr>
              <w:t>（二）强化资金保障</w:t>
            </w:r>
            <w:r w:rsidR="00CF0EBA">
              <w:rPr>
                <w:sz w:val="30"/>
                <w:szCs w:val="30"/>
              </w:rPr>
              <w:tab/>
            </w:r>
            <w:r>
              <w:rPr>
                <w:sz w:val="30"/>
                <w:szCs w:val="30"/>
              </w:rPr>
              <w:fldChar w:fldCharType="begin"/>
            </w:r>
            <w:r w:rsidR="00CF0EBA">
              <w:rPr>
                <w:sz w:val="30"/>
                <w:szCs w:val="30"/>
              </w:rPr>
              <w:instrText xml:space="preserve"> PAGEREF _T</w:instrText>
            </w:r>
            <w:r w:rsidR="00CF0EBA">
              <w:rPr>
                <w:sz w:val="30"/>
                <w:szCs w:val="30"/>
              </w:rPr>
              <w:instrText xml:space="preserve">oc97711978 \h </w:instrText>
            </w:r>
            <w:r>
              <w:rPr>
                <w:sz w:val="30"/>
                <w:szCs w:val="30"/>
              </w:rPr>
            </w:r>
            <w:r>
              <w:rPr>
                <w:sz w:val="30"/>
                <w:szCs w:val="30"/>
              </w:rPr>
              <w:fldChar w:fldCharType="separate"/>
            </w:r>
            <w:r w:rsidR="00CF0EBA">
              <w:rPr>
                <w:sz w:val="30"/>
                <w:szCs w:val="30"/>
              </w:rPr>
              <w:t>- 11 -</w:t>
            </w:r>
            <w:r>
              <w:rPr>
                <w:sz w:val="30"/>
                <w:szCs w:val="30"/>
              </w:rPr>
              <w:fldChar w:fldCharType="end"/>
            </w:r>
          </w:hyperlink>
        </w:p>
        <w:p w:rsidR="00A73074" w:rsidRDefault="00A73074">
          <w:pPr>
            <w:pStyle w:val="20"/>
            <w:tabs>
              <w:tab w:val="right" w:leader="dot" w:pos="8296"/>
            </w:tabs>
            <w:rPr>
              <w:sz w:val="30"/>
              <w:szCs w:val="30"/>
            </w:rPr>
          </w:pPr>
          <w:hyperlink w:anchor="_Toc97711979" w:history="1">
            <w:r w:rsidR="00CF0EBA">
              <w:rPr>
                <w:rStyle w:val="ab"/>
                <w:rFonts w:ascii="宋体" w:eastAsia="宋体" w:hAnsi="宋体" w:hint="eastAsia"/>
                <w:sz w:val="30"/>
                <w:szCs w:val="30"/>
              </w:rPr>
              <w:t>（三）注重规划衔接</w:t>
            </w:r>
            <w:r w:rsidR="00CF0EBA">
              <w:rPr>
                <w:sz w:val="30"/>
                <w:szCs w:val="30"/>
              </w:rPr>
              <w:tab/>
            </w:r>
            <w:r>
              <w:rPr>
                <w:sz w:val="30"/>
                <w:szCs w:val="30"/>
              </w:rPr>
              <w:fldChar w:fldCharType="begin"/>
            </w:r>
            <w:r w:rsidR="00CF0EBA">
              <w:rPr>
                <w:sz w:val="30"/>
                <w:szCs w:val="30"/>
              </w:rPr>
              <w:instrText xml:space="preserve"> PAGEREF _Toc97711979 \h </w:instrText>
            </w:r>
            <w:r>
              <w:rPr>
                <w:sz w:val="30"/>
                <w:szCs w:val="30"/>
              </w:rPr>
            </w:r>
            <w:r>
              <w:rPr>
                <w:sz w:val="30"/>
                <w:szCs w:val="30"/>
              </w:rPr>
              <w:fldChar w:fldCharType="separate"/>
            </w:r>
            <w:r w:rsidR="00CF0EBA">
              <w:rPr>
                <w:sz w:val="30"/>
                <w:szCs w:val="30"/>
              </w:rPr>
              <w:t>- 12 -</w:t>
            </w:r>
            <w:r>
              <w:rPr>
                <w:sz w:val="30"/>
                <w:szCs w:val="30"/>
              </w:rPr>
              <w:fldChar w:fldCharType="end"/>
            </w:r>
          </w:hyperlink>
        </w:p>
        <w:p w:rsidR="00A73074" w:rsidRDefault="00A73074">
          <w:pPr>
            <w:pStyle w:val="20"/>
            <w:tabs>
              <w:tab w:val="right" w:leader="dot" w:pos="8296"/>
            </w:tabs>
            <w:rPr>
              <w:sz w:val="30"/>
              <w:szCs w:val="30"/>
            </w:rPr>
          </w:pPr>
          <w:hyperlink w:anchor="_Toc97711980" w:history="1">
            <w:r w:rsidR="00CF0EBA">
              <w:rPr>
                <w:rStyle w:val="ab"/>
                <w:rFonts w:ascii="宋体" w:eastAsia="宋体" w:hAnsi="宋体" w:hint="eastAsia"/>
                <w:sz w:val="30"/>
                <w:szCs w:val="30"/>
              </w:rPr>
              <w:t>（四）做好监测评估</w:t>
            </w:r>
            <w:r w:rsidR="00CF0EBA">
              <w:rPr>
                <w:sz w:val="30"/>
                <w:szCs w:val="30"/>
              </w:rPr>
              <w:tab/>
            </w:r>
            <w:r>
              <w:rPr>
                <w:sz w:val="30"/>
                <w:szCs w:val="30"/>
              </w:rPr>
              <w:fldChar w:fldCharType="begin"/>
            </w:r>
            <w:r w:rsidR="00CF0EBA">
              <w:rPr>
                <w:sz w:val="30"/>
                <w:szCs w:val="30"/>
              </w:rPr>
              <w:instrText xml:space="preserve"> PAGEREF _Toc97711980 \h </w:instrText>
            </w:r>
            <w:r>
              <w:rPr>
                <w:sz w:val="30"/>
                <w:szCs w:val="30"/>
              </w:rPr>
            </w:r>
            <w:r>
              <w:rPr>
                <w:sz w:val="30"/>
                <w:szCs w:val="30"/>
              </w:rPr>
              <w:fldChar w:fldCharType="separate"/>
            </w:r>
            <w:r w:rsidR="00CF0EBA">
              <w:rPr>
                <w:sz w:val="30"/>
                <w:szCs w:val="30"/>
              </w:rPr>
              <w:t>- 12 -</w:t>
            </w:r>
            <w:r>
              <w:rPr>
                <w:sz w:val="30"/>
                <w:szCs w:val="30"/>
              </w:rPr>
              <w:fldChar w:fldCharType="end"/>
            </w:r>
          </w:hyperlink>
        </w:p>
        <w:p w:rsidR="00A73074" w:rsidRDefault="00A73074">
          <w:pPr>
            <w:pStyle w:val="20"/>
            <w:tabs>
              <w:tab w:val="right" w:leader="dot" w:pos="8296"/>
            </w:tabs>
            <w:rPr>
              <w:sz w:val="30"/>
              <w:szCs w:val="30"/>
            </w:rPr>
          </w:pPr>
          <w:hyperlink w:anchor="_Toc97711981" w:history="1">
            <w:r w:rsidR="00CF0EBA">
              <w:rPr>
                <w:rStyle w:val="ab"/>
                <w:rFonts w:ascii="宋体" w:eastAsia="宋体" w:hAnsi="宋体" w:hint="eastAsia"/>
                <w:sz w:val="30"/>
                <w:szCs w:val="30"/>
              </w:rPr>
              <w:t>（五）强化宣传引导</w:t>
            </w:r>
            <w:r w:rsidR="00CF0EBA">
              <w:rPr>
                <w:sz w:val="30"/>
                <w:szCs w:val="30"/>
              </w:rPr>
              <w:tab/>
            </w:r>
            <w:r>
              <w:rPr>
                <w:sz w:val="30"/>
                <w:szCs w:val="30"/>
              </w:rPr>
              <w:fldChar w:fldCharType="begin"/>
            </w:r>
            <w:r w:rsidR="00CF0EBA">
              <w:rPr>
                <w:sz w:val="30"/>
                <w:szCs w:val="30"/>
              </w:rPr>
              <w:instrText xml:space="preserve"> PAGEREF _Toc97711981 \h </w:instrText>
            </w:r>
            <w:r>
              <w:rPr>
                <w:sz w:val="30"/>
                <w:szCs w:val="30"/>
              </w:rPr>
            </w:r>
            <w:r>
              <w:rPr>
                <w:sz w:val="30"/>
                <w:szCs w:val="30"/>
              </w:rPr>
              <w:fldChar w:fldCharType="separate"/>
            </w:r>
            <w:r w:rsidR="00CF0EBA">
              <w:rPr>
                <w:sz w:val="30"/>
                <w:szCs w:val="30"/>
              </w:rPr>
              <w:t>- 12 -</w:t>
            </w:r>
            <w:r>
              <w:rPr>
                <w:sz w:val="30"/>
                <w:szCs w:val="30"/>
              </w:rPr>
              <w:fldChar w:fldCharType="end"/>
            </w:r>
          </w:hyperlink>
        </w:p>
        <w:p w:rsidR="00A73074" w:rsidRDefault="00A73074">
          <w:pPr>
            <w:spacing w:line="360" w:lineRule="auto"/>
            <w:rPr>
              <w:rFonts w:ascii="宋体" w:eastAsia="宋体" w:hAnsi="宋体"/>
              <w:sz w:val="32"/>
              <w:szCs w:val="32"/>
            </w:rPr>
          </w:pPr>
          <w:r>
            <w:rPr>
              <w:rFonts w:ascii="宋体" w:eastAsia="宋体" w:hAnsi="宋体"/>
              <w:sz w:val="30"/>
              <w:szCs w:val="30"/>
            </w:rPr>
            <w:fldChar w:fldCharType="end"/>
          </w:r>
        </w:p>
      </w:sdtContent>
    </w:sdt>
    <w:p w:rsidR="00A73074" w:rsidRDefault="00A73074">
      <w:pPr>
        <w:spacing w:line="360" w:lineRule="auto"/>
        <w:jc w:val="left"/>
        <w:rPr>
          <w:rFonts w:ascii="宋体" w:eastAsia="宋体" w:hAnsi="宋体" w:cs="Times New Roman"/>
          <w:kern w:val="0"/>
          <w:sz w:val="32"/>
          <w:szCs w:val="32"/>
        </w:rPr>
      </w:pPr>
    </w:p>
    <w:p w:rsidR="00A73074" w:rsidRDefault="00A73074">
      <w:pPr>
        <w:spacing w:line="360" w:lineRule="auto"/>
        <w:jc w:val="left"/>
        <w:rPr>
          <w:rFonts w:ascii="宋体" w:eastAsia="宋体" w:hAnsi="宋体" w:cs="Times New Roman"/>
          <w:kern w:val="0"/>
          <w:sz w:val="32"/>
          <w:szCs w:val="32"/>
        </w:rPr>
      </w:pPr>
    </w:p>
    <w:p w:rsidR="00A73074" w:rsidRDefault="00A73074">
      <w:pPr>
        <w:spacing w:line="360" w:lineRule="auto"/>
        <w:jc w:val="left"/>
        <w:rPr>
          <w:rFonts w:ascii="宋体" w:eastAsia="宋体" w:hAnsi="宋体" w:cs="MingLiU"/>
          <w:b/>
          <w:bCs/>
          <w:kern w:val="0"/>
          <w:sz w:val="32"/>
          <w:szCs w:val="32"/>
          <w:lang w:val="zh-CN"/>
        </w:rPr>
        <w:sectPr w:rsidR="00A73074">
          <w:footerReference w:type="default" r:id="rId9"/>
          <w:pgSz w:w="11906" w:h="16838"/>
          <w:pgMar w:top="1440" w:right="1800" w:bottom="1440" w:left="1800" w:header="851" w:footer="992" w:gutter="0"/>
          <w:pgNumType w:fmt="numberInDash" w:start="1"/>
          <w:cols w:space="425"/>
          <w:docGrid w:type="lines" w:linePitch="312"/>
        </w:sectPr>
      </w:pPr>
      <w:bookmarkStart w:id="1" w:name="bookmark2"/>
    </w:p>
    <w:p w:rsidR="00A73074" w:rsidRDefault="00CF0EBA">
      <w:pPr>
        <w:pStyle w:val="1"/>
        <w:rPr>
          <w:rFonts w:ascii="宋体" w:hAnsi="宋体"/>
          <w:sz w:val="32"/>
          <w:szCs w:val="32"/>
        </w:rPr>
      </w:pPr>
      <w:bookmarkStart w:id="2" w:name="_Toc97711965"/>
      <w:bookmarkEnd w:id="1"/>
      <w:r>
        <w:rPr>
          <w:rFonts w:ascii="宋体" w:hAnsi="宋体"/>
          <w:sz w:val="32"/>
          <w:szCs w:val="32"/>
        </w:rPr>
        <w:lastRenderedPageBreak/>
        <w:t>一、规划背景</w:t>
      </w:r>
      <w:bookmarkEnd w:id="2"/>
    </w:p>
    <w:p w:rsidR="00A73074" w:rsidRDefault="00CF0EBA">
      <w:pPr>
        <w:snapToGrid w:val="0"/>
        <w:spacing w:line="360" w:lineRule="auto"/>
        <w:ind w:firstLineChars="200" w:firstLine="640"/>
        <w:contextualSpacing/>
        <w:rPr>
          <w:rFonts w:ascii="宋体" w:eastAsia="宋体" w:hAnsi="宋体" w:cs="Times New Roman"/>
          <w:sz w:val="32"/>
          <w:szCs w:val="32"/>
        </w:rPr>
      </w:pPr>
      <w:r>
        <w:rPr>
          <w:rFonts w:ascii="宋体" w:eastAsia="宋体" w:hAnsi="宋体" w:cs="Times New Roman"/>
          <w:sz w:val="32"/>
          <w:szCs w:val="32"/>
        </w:rPr>
        <w:t>“</w:t>
      </w:r>
      <w:r>
        <w:rPr>
          <w:rFonts w:ascii="宋体" w:eastAsia="宋体" w:hAnsi="宋体" w:cs="Times New Roman"/>
          <w:sz w:val="32"/>
          <w:szCs w:val="32"/>
        </w:rPr>
        <w:t>十四五</w:t>
      </w:r>
      <w:r>
        <w:rPr>
          <w:rFonts w:ascii="宋体" w:eastAsia="宋体" w:hAnsi="宋体" w:cs="Times New Roman"/>
          <w:sz w:val="32"/>
          <w:szCs w:val="32"/>
        </w:rPr>
        <w:t>”</w:t>
      </w:r>
      <w:r>
        <w:rPr>
          <w:rFonts w:ascii="宋体" w:eastAsia="宋体" w:hAnsi="宋体" w:cs="Times New Roman"/>
          <w:sz w:val="32"/>
          <w:szCs w:val="32"/>
        </w:rPr>
        <w:t>时期，是广州市以新发展理念引领高质量发展，实现老城市新活力、</w:t>
      </w:r>
      <w:r>
        <w:rPr>
          <w:rFonts w:ascii="宋体" w:eastAsia="宋体" w:hAnsi="宋体" w:cs="Times New Roman"/>
          <w:sz w:val="32"/>
          <w:szCs w:val="32"/>
        </w:rPr>
        <w:t>“</w:t>
      </w:r>
      <w:r>
        <w:rPr>
          <w:rFonts w:ascii="宋体" w:eastAsia="宋体" w:hAnsi="宋体" w:cs="Times New Roman"/>
          <w:sz w:val="32"/>
          <w:szCs w:val="32"/>
        </w:rPr>
        <w:t>四个出新出彩</w:t>
      </w:r>
      <w:r>
        <w:rPr>
          <w:rFonts w:ascii="宋体" w:eastAsia="宋体" w:hAnsi="宋体" w:cs="Times New Roman"/>
          <w:sz w:val="32"/>
          <w:szCs w:val="32"/>
        </w:rPr>
        <w:t>”</w:t>
      </w:r>
      <w:r>
        <w:rPr>
          <w:rFonts w:ascii="宋体" w:eastAsia="宋体" w:hAnsi="宋体" w:cs="Times New Roman"/>
          <w:sz w:val="32"/>
          <w:szCs w:val="32"/>
        </w:rPr>
        <w:t>的关键时期。为构建</w:t>
      </w:r>
      <w:r>
        <w:rPr>
          <w:rFonts w:ascii="宋体" w:eastAsia="宋体" w:hAnsi="宋体" w:cs="Times New Roman" w:hint="eastAsia"/>
          <w:sz w:val="32"/>
          <w:szCs w:val="32"/>
        </w:rPr>
        <w:t>与广州市经济社会发展相适应，与城市精细化管理目标相协调，与生活垃圾分类各环节相衔接，与前端分类相匹配的生活垃圾分类处理系统，</w:t>
      </w:r>
      <w:r>
        <w:rPr>
          <w:rFonts w:ascii="宋体" w:eastAsia="宋体" w:hAnsi="宋体" w:cs="Times New Roman"/>
          <w:sz w:val="32"/>
          <w:szCs w:val="32"/>
        </w:rPr>
        <w:t>根据《广州市</w:t>
      </w:r>
      <w:r>
        <w:rPr>
          <w:rFonts w:ascii="宋体" w:eastAsia="宋体" w:hAnsi="宋体" w:cs="Times New Roman" w:hint="eastAsia"/>
          <w:sz w:val="32"/>
          <w:szCs w:val="32"/>
        </w:rPr>
        <w:t>国民</w:t>
      </w:r>
      <w:r>
        <w:rPr>
          <w:rFonts w:ascii="宋体" w:eastAsia="宋体" w:hAnsi="宋体" w:cs="Times New Roman"/>
          <w:sz w:val="32"/>
          <w:szCs w:val="32"/>
        </w:rPr>
        <w:t>经济和社会发展第十四个五年规划和</w:t>
      </w:r>
      <w:r>
        <w:rPr>
          <w:rFonts w:ascii="宋体" w:eastAsia="宋体" w:hAnsi="宋体" w:cs="Times New Roman" w:hint="eastAsia"/>
          <w:sz w:val="32"/>
          <w:szCs w:val="32"/>
        </w:rPr>
        <w:t>2</w:t>
      </w:r>
      <w:r>
        <w:rPr>
          <w:rFonts w:ascii="宋体" w:eastAsia="宋体" w:hAnsi="宋体" w:cs="Times New Roman"/>
          <w:sz w:val="32"/>
          <w:szCs w:val="32"/>
        </w:rPr>
        <w:t>035</w:t>
      </w:r>
      <w:r>
        <w:rPr>
          <w:rFonts w:ascii="宋体" w:eastAsia="宋体" w:hAnsi="宋体" w:cs="Times New Roman"/>
          <w:sz w:val="32"/>
          <w:szCs w:val="32"/>
        </w:rPr>
        <w:t>年远景目标纲要》、</w:t>
      </w:r>
      <w:r>
        <w:rPr>
          <w:rFonts w:ascii="宋体" w:eastAsia="宋体" w:hAnsi="宋体" w:cs="Times New Roman" w:hint="eastAsia"/>
          <w:sz w:val="32"/>
          <w:szCs w:val="32"/>
        </w:rPr>
        <w:t>《“十四五”城镇生活垃圾分类和处理设施发展规划》、《广东省生活垃圾处理“十四五”规划》、《广州市城市管理和综合执法“十四五”规划》、《广州市生活垃圾收运处理系统战略规划（</w:t>
      </w:r>
      <w:r>
        <w:rPr>
          <w:rFonts w:ascii="宋体" w:eastAsia="宋体" w:hAnsi="宋体" w:cs="Times New Roman" w:hint="eastAsia"/>
          <w:sz w:val="32"/>
          <w:szCs w:val="32"/>
        </w:rPr>
        <w:t>2018-2035</w:t>
      </w:r>
      <w:r>
        <w:rPr>
          <w:rFonts w:ascii="宋体" w:eastAsia="宋体" w:hAnsi="宋体" w:cs="Times New Roman" w:hint="eastAsia"/>
          <w:sz w:val="32"/>
          <w:szCs w:val="32"/>
        </w:rPr>
        <w:t>）》，编制《广州市生活垃圾处理设施建设“十四五”</w:t>
      </w:r>
      <w:r w:rsidR="003A6578">
        <w:rPr>
          <w:rFonts w:ascii="宋体" w:eastAsia="宋体" w:hAnsi="宋体" w:cs="Times New Roman" w:hint="eastAsia"/>
          <w:sz w:val="32"/>
          <w:szCs w:val="32"/>
        </w:rPr>
        <w:t>专项</w:t>
      </w:r>
      <w:r>
        <w:rPr>
          <w:rFonts w:ascii="宋体" w:eastAsia="宋体" w:hAnsi="宋体" w:cs="Times New Roman" w:hint="eastAsia"/>
          <w:sz w:val="32"/>
          <w:szCs w:val="32"/>
        </w:rPr>
        <w:t>规划》</w:t>
      </w:r>
      <w:r>
        <w:rPr>
          <w:rFonts w:ascii="宋体" w:eastAsia="宋体" w:hAnsi="宋体" w:cs="Times New Roman"/>
          <w:sz w:val="32"/>
          <w:szCs w:val="32"/>
        </w:rPr>
        <w:t>（以下简称《规划》），</w:t>
      </w:r>
      <w:r>
        <w:rPr>
          <w:rFonts w:ascii="宋体" w:eastAsia="宋体" w:hAnsi="宋体" w:cs="Times New Roman" w:hint="eastAsia"/>
          <w:sz w:val="32"/>
          <w:szCs w:val="32"/>
        </w:rPr>
        <w:t>作为“十四五”期间广州市生活垃圾终端处理设施规划建设的重要指导性文件。</w:t>
      </w:r>
    </w:p>
    <w:p w:rsidR="00A73074" w:rsidRDefault="00CF0EBA">
      <w:pPr>
        <w:snapToGrid w:val="0"/>
        <w:spacing w:line="360" w:lineRule="auto"/>
        <w:ind w:firstLineChars="200" w:firstLine="640"/>
        <w:contextualSpacing/>
        <w:rPr>
          <w:rFonts w:ascii="宋体" w:eastAsia="宋体" w:hAnsi="宋体" w:cs="Times New Roman"/>
          <w:sz w:val="32"/>
          <w:szCs w:val="32"/>
        </w:rPr>
      </w:pPr>
      <w:r>
        <w:rPr>
          <w:rFonts w:ascii="宋体" w:eastAsia="宋体" w:hAnsi="宋体" w:cs="Times New Roman" w:hint="eastAsia"/>
          <w:sz w:val="32"/>
          <w:szCs w:val="32"/>
        </w:rPr>
        <w:t>规划范围为广州市市辖十一区，总面积</w:t>
      </w:r>
      <w:r>
        <w:rPr>
          <w:rFonts w:ascii="宋体" w:eastAsia="宋体" w:hAnsi="宋体" w:cs="Times New Roman" w:hint="eastAsia"/>
          <w:sz w:val="32"/>
          <w:szCs w:val="32"/>
        </w:rPr>
        <w:t>7434.4</w:t>
      </w:r>
      <w:r>
        <w:rPr>
          <w:rFonts w:ascii="宋体" w:eastAsia="宋体" w:hAnsi="宋体" w:cs="Times New Roman" w:hint="eastAsia"/>
          <w:sz w:val="32"/>
          <w:szCs w:val="32"/>
        </w:rPr>
        <w:t>平方公里，规划年限</w:t>
      </w:r>
      <w:r>
        <w:rPr>
          <w:rFonts w:ascii="宋体" w:eastAsia="宋体" w:hAnsi="宋体" w:cs="Times New Roman" w:hint="eastAsia"/>
          <w:sz w:val="32"/>
          <w:szCs w:val="32"/>
        </w:rPr>
        <w:t>2021-2025</w:t>
      </w:r>
      <w:r>
        <w:rPr>
          <w:rFonts w:ascii="宋体" w:eastAsia="宋体" w:hAnsi="宋体" w:cs="Times New Roman" w:hint="eastAsia"/>
          <w:sz w:val="32"/>
          <w:szCs w:val="32"/>
        </w:rPr>
        <w:t>年。《规划》遵循“无废城市”管理理念，以垃圾分类为方向，以实现原生生活垃圾“零填埋”为目标，兼</w:t>
      </w:r>
      <w:r>
        <w:rPr>
          <w:rFonts w:ascii="宋体" w:eastAsia="宋体" w:hAnsi="宋体" w:cs="Times New Roman" w:hint="eastAsia"/>
          <w:sz w:val="32"/>
          <w:szCs w:val="32"/>
        </w:rPr>
        <w:t>顾近期和远期，科学分析预测“十四五”期间全市生活垃圾分类处理需求，统筹安排生活垃圾终端分类处理</w:t>
      </w:r>
      <w:r>
        <w:rPr>
          <w:rFonts w:ascii="宋体" w:eastAsia="宋体" w:hAnsi="宋体" w:cs="Times New Roman" w:hint="eastAsia"/>
          <w:sz w:val="32"/>
          <w:szCs w:val="32"/>
        </w:rPr>
        <w:lastRenderedPageBreak/>
        <w:t>设施规划布局与建设任务。</w:t>
      </w:r>
    </w:p>
    <w:p w:rsidR="00A73074" w:rsidRDefault="00CF0EBA">
      <w:pPr>
        <w:pStyle w:val="1"/>
        <w:rPr>
          <w:rFonts w:ascii="宋体" w:hAnsi="宋体"/>
        </w:rPr>
      </w:pPr>
      <w:bookmarkStart w:id="3" w:name="_Toc97711966"/>
      <w:bookmarkStart w:id="4" w:name="_Toc89765942"/>
      <w:r>
        <w:rPr>
          <w:rFonts w:ascii="宋体" w:hAnsi="宋体" w:hint="eastAsia"/>
          <w:sz w:val="32"/>
          <w:szCs w:val="32"/>
        </w:rPr>
        <w:t>二、</w:t>
      </w:r>
      <w:bookmarkStart w:id="5" w:name="_Toc43839268"/>
      <w:r>
        <w:rPr>
          <w:rFonts w:ascii="宋体" w:hAnsi="宋体" w:hint="eastAsia"/>
          <w:sz w:val="32"/>
          <w:szCs w:val="32"/>
        </w:rPr>
        <w:t>机遇和挑战</w:t>
      </w:r>
      <w:bookmarkEnd w:id="3"/>
      <w:bookmarkEnd w:id="4"/>
    </w:p>
    <w:p w:rsidR="00A73074" w:rsidRDefault="00CF0EBA">
      <w:pPr>
        <w:snapToGrid w:val="0"/>
        <w:spacing w:line="360" w:lineRule="auto"/>
        <w:ind w:firstLineChars="200" w:firstLine="640"/>
        <w:contextualSpacing/>
        <w:rPr>
          <w:rFonts w:ascii="宋体" w:hAnsi="宋体"/>
          <w:sz w:val="32"/>
        </w:rPr>
      </w:pPr>
      <w:r>
        <w:rPr>
          <w:rFonts w:ascii="宋体" w:eastAsia="宋体" w:hAnsi="宋体" w:cs="Times New Roman"/>
          <w:sz w:val="32"/>
          <w:szCs w:val="32"/>
        </w:rPr>
        <w:t>“</w:t>
      </w:r>
      <w:r>
        <w:rPr>
          <w:rFonts w:ascii="宋体" w:eastAsia="宋体" w:hAnsi="宋体" w:cs="Times New Roman" w:hint="eastAsia"/>
          <w:sz w:val="32"/>
          <w:szCs w:val="32"/>
        </w:rPr>
        <w:t>十四五</w:t>
      </w:r>
      <w:r>
        <w:rPr>
          <w:rFonts w:ascii="宋体" w:eastAsia="宋体" w:hAnsi="宋体" w:cs="Times New Roman"/>
          <w:sz w:val="32"/>
          <w:szCs w:val="32"/>
        </w:rPr>
        <w:t>”</w:t>
      </w:r>
      <w:r>
        <w:rPr>
          <w:rFonts w:ascii="宋体" w:eastAsia="宋体" w:hAnsi="宋体" w:cs="Times New Roman" w:hint="eastAsia"/>
          <w:sz w:val="32"/>
          <w:szCs w:val="32"/>
        </w:rPr>
        <w:t>时期，世界百年未有之大变局与中华民族伟大复兴的战略全局深度联动，构成</w:t>
      </w:r>
      <w:r>
        <w:rPr>
          <w:rFonts w:ascii="宋体" w:eastAsia="宋体" w:hAnsi="宋体" w:cs="Times New Roman"/>
          <w:sz w:val="32"/>
          <w:szCs w:val="32"/>
        </w:rPr>
        <w:t>“</w:t>
      </w:r>
      <w:r>
        <w:rPr>
          <w:rFonts w:ascii="宋体" w:eastAsia="宋体" w:hAnsi="宋体" w:cs="Times New Roman" w:hint="eastAsia"/>
          <w:sz w:val="32"/>
          <w:szCs w:val="32"/>
        </w:rPr>
        <w:t>十四五</w:t>
      </w:r>
      <w:r>
        <w:rPr>
          <w:rFonts w:ascii="宋体" w:eastAsia="宋体" w:hAnsi="宋体" w:cs="Times New Roman"/>
          <w:sz w:val="32"/>
          <w:szCs w:val="32"/>
        </w:rPr>
        <w:t>”</w:t>
      </w:r>
      <w:r>
        <w:rPr>
          <w:rFonts w:ascii="宋体" w:eastAsia="宋体" w:hAnsi="宋体" w:cs="Times New Roman" w:hint="eastAsia"/>
          <w:sz w:val="32"/>
          <w:szCs w:val="32"/>
        </w:rPr>
        <w:t>时期广东、广州发展环境主题的主基调，总体上仍处于重要战略机遇期。广州市城市管理工作必须牢牢把握党中央部署推进国家治理体系和治理能力现代化建设、以人为核心的新型城镇化加速发展的新形势；牢牢把握国家大力支持粤港澳大湾区建设和深圳建设中国特色社会主义先行示范区，省委以支持深圳同等力度支持广州改</w:t>
      </w:r>
      <w:r>
        <w:rPr>
          <w:rFonts w:ascii="宋体" w:eastAsia="宋体" w:hAnsi="宋体" w:cs="Times New Roman" w:hint="eastAsia"/>
          <w:sz w:val="32"/>
          <w:szCs w:val="32"/>
        </w:rPr>
        <w:t>革发展，广州构建全球顶尖智能化</w:t>
      </w:r>
      <w:r>
        <w:rPr>
          <w:rFonts w:ascii="宋体" w:eastAsia="宋体" w:hAnsi="宋体" w:cs="Times New Roman"/>
          <w:sz w:val="32"/>
          <w:szCs w:val="32"/>
        </w:rPr>
        <w:t>“</w:t>
      </w:r>
      <w:r>
        <w:rPr>
          <w:rFonts w:ascii="宋体" w:eastAsia="宋体" w:hAnsi="宋体" w:cs="Times New Roman" w:hint="eastAsia"/>
          <w:sz w:val="32"/>
          <w:szCs w:val="32"/>
        </w:rPr>
        <w:t>创新型智慧城市</w:t>
      </w:r>
      <w:r>
        <w:rPr>
          <w:rFonts w:ascii="宋体" w:eastAsia="宋体" w:hAnsi="宋体" w:cs="Times New Roman"/>
          <w:sz w:val="32"/>
          <w:szCs w:val="32"/>
        </w:rPr>
        <w:t>”</w:t>
      </w:r>
      <w:r>
        <w:rPr>
          <w:rFonts w:ascii="宋体" w:eastAsia="宋体" w:hAnsi="宋体" w:cs="Times New Roman" w:hint="eastAsia"/>
          <w:sz w:val="32"/>
          <w:szCs w:val="32"/>
        </w:rPr>
        <w:t>的新机遇。用全面辩证长远眼光看待新发展阶段的新机遇新挑战，增强机遇意识和风险意识，立足新发展阶段，深入贯彻新发展理念，服务构建新发展格局，推动城市管理高质量发展。</w:t>
      </w:r>
      <w:bookmarkEnd w:id="5"/>
    </w:p>
    <w:p w:rsidR="00A73074" w:rsidRDefault="00CF0EBA">
      <w:pPr>
        <w:snapToGrid w:val="0"/>
        <w:spacing w:line="360" w:lineRule="auto"/>
        <w:ind w:firstLineChars="200" w:firstLine="640"/>
        <w:contextualSpacing/>
        <w:rPr>
          <w:rFonts w:ascii="宋体" w:eastAsia="宋体" w:hAnsi="宋体" w:cs="Times New Roman"/>
          <w:sz w:val="32"/>
          <w:szCs w:val="32"/>
        </w:rPr>
      </w:pPr>
      <w:r>
        <w:rPr>
          <w:rFonts w:ascii="宋体" w:eastAsia="宋体" w:hAnsi="宋体" w:cs="Times New Roman"/>
          <w:sz w:val="32"/>
          <w:szCs w:val="32"/>
        </w:rPr>
        <w:br w:type="page"/>
      </w:r>
    </w:p>
    <w:p w:rsidR="00A73074" w:rsidRDefault="00CF0EBA">
      <w:pPr>
        <w:pStyle w:val="1"/>
        <w:rPr>
          <w:rFonts w:ascii="宋体" w:hAnsi="宋体"/>
          <w:sz w:val="32"/>
          <w:szCs w:val="32"/>
        </w:rPr>
      </w:pPr>
      <w:bookmarkStart w:id="6" w:name="_Toc97711967"/>
      <w:r>
        <w:rPr>
          <w:rFonts w:ascii="宋体" w:hAnsi="宋体" w:hint="eastAsia"/>
          <w:sz w:val="32"/>
          <w:szCs w:val="32"/>
        </w:rPr>
        <w:lastRenderedPageBreak/>
        <w:t>三、总体要求</w:t>
      </w:r>
      <w:bookmarkEnd w:id="6"/>
    </w:p>
    <w:p w:rsidR="00A73074" w:rsidRDefault="00CF0EBA">
      <w:pPr>
        <w:pStyle w:val="2"/>
        <w:rPr>
          <w:rFonts w:ascii="宋体" w:eastAsia="宋体" w:hAnsi="宋体"/>
        </w:rPr>
      </w:pPr>
      <w:bookmarkStart w:id="7" w:name="_Toc97711968"/>
      <w:bookmarkStart w:id="8" w:name="_Toc499284791"/>
      <w:bookmarkStart w:id="9" w:name="_Toc499284537"/>
      <w:bookmarkStart w:id="10" w:name="_Toc499284467"/>
      <w:bookmarkStart w:id="11" w:name="_Toc499284751"/>
      <w:bookmarkStart w:id="12" w:name="_Toc1670"/>
      <w:r>
        <w:rPr>
          <w:rFonts w:ascii="宋体" w:eastAsia="宋体" w:hAnsi="宋体" w:hint="eastAsia"/>
        </w:rPr>
        <w:t>（一）指导思想</w:t>
      </w:r>
      <w:bookmarkEnd w:id="7"/>
    </w:p>
    <w:p w:rsidR="00A73074" w:rsidRDefault="00CF0EBA">
      <w:pPr>
        <w:spacing w:line="360" w:lineRule="auto"/>
        <w:ind w:firstLineChars="200" w:firstLine="640"/>
        <w:contextualSpacing/>
        <w:rPr>
          <w:rFonts w:ascii="宋体" w:eastAsia="宋体" w:hAnsi="宋体" w:cs="Times New Roman"/>
          <w:sz w:val="32"/>
          <w:szCs w:val="32"/>
        </w:rPr>
      </w:pPr>
      <w:r>
        <w:rPr>
          <w:rFonts w:ascii="宋体" w:eastAsia="宋体" w:hAnsi="宋体" w:cs="Times New Roman" w:hint="eastAsia"/>
          <w:sz w:val="32"/>
          <w:szCs w:val="32"/>
        </w:rPr>
        <w:t>以习近平新时代中国特色社会主义思想为指导，深入贯彻习近平生态文明思想，坚定不移贯彻新发展理念，全面贯彻党的十九大、十九届二中、三中、四中、五中、六中全会精神，认真落实习近平总书记对广东系列重要讲话和重要指示批示精神，以高质量发展为主题，以绿色发展为引领，以推进生活垃</w:t>
      </w:r>
      <w:r>
        <w:rPr>
          <w:rFonts w:ascii="宋体" w:eastAsia="宋体" w:hAnsi="宋体" w:cs="Times New Roman" w:hint="eastAsia"/>
          <w:sz w:val="32"/>
          <w:szCs w:val="32"/>
        </w:rPr>
        <w:t>圾分类、积极打造样板城市为抓手，全面引领生活垃圾分类治理工作，推动“无废城市”建设，不断提高生活垃圾减量化、资源化、无害化水平，促进绿色低碳生产生活方式的形成，为我市早日实现碳达峰、碳中和的目标作出贡献。</w:t>
      </w:r>
    </w:p>
    <w:p w:rsidR="00A73074" w:rsidRDefault="00CF0EBA">
      <w:pPr>
        <w:pStyle w:val="2"/>
        <w:rPr>
          <w:rFonts w:ascii="宋体" w:eastAsia="宋体" w:hAnsi="宋体"/>
        </w:rPr>
      </w:pPr>
      <w:bookmarkStart w:id="13" w:name="_Toc97711969"/>
      <w:r>
        <w:rPr>
          <w:rFonts w:ascii="宋体" w:eastAsia="宋体" w:hAnsi="宋体" w:hint="eastAsia"/>
        </w:rPr>
        <w:t>（二）</w:t>
      </w:r>
      <w:bookmarkEnd w:id="8"/>
      <w:bookmarkEnd w:id="9"/>
      <w:bookmarkEnd w:id="10"/>
      <w:bookmarkEnd w:id="11"/>
      <w:bookmarkEnd w:id="12"/>
      <w:r>
        <w:rPr>
          <w:rFonts w:ascii="宋体" w:eastAsia="宋体" w:hAnsi="宋体" w:hint="eastAsia"/>
        </w:rPr>
        <w:t>目标</w:t>
      </w:r>
      <w:bookmarkEnd w:id="13"/>
    </w:p>
    <w:p w:rsidR="00A73074" w:rsidRDefault="00CF0EBA">
      <w:pPr>
        <w:adjustRightInd w:val="0"/>
        <w:snapToGrid w:val="0"/>
        <w:spacing w:line="360" w:lineRule="auto"/>
        <w:ind w:firstLineChars="200" w:firstLine="640"/>
        <w:rPr>
          <w:rFonts w:ascii="宋体" w:eastAsia="宋体" w:hAnsi="宋体"/>
          <w:bCs/>
          <w:sz w:val="32"/>
          <w:szCs w:val="32"/>
        </w:rPr>
      </w:pPr>
      <w:r>
        <w:rPr>
          <w:rFonts w:ascii="宋体" w:eastAsia="宋体" w:hAnsi="宋体" w:hint="eastAsia"/>
          <w:bCs/>
          <w:sz w:val="32"/>
          <w:szCs w:val="32"/>
        </w:rPr>
        <w:t>展望</w:t>
      </w:r>
      <w:r>
        <w:rPr>
          <w:rFonts w:ascii="宋体" w:eastAsia="宋体" w:hAnsi="宋体"/>
          <w:bCs/>
          <w:sz w:val="32"/>
          <w:szCs w:val="32"/>
        </w:rPr>
        <w:t>2035</w:t>
      </w:r>
      <w:r>
        <w:rPr>
          <w:rFonts w:ascii="宋体" w:eastAsia="宋体" w:hAnsi="宋体" w:hint="eastAsia"/>
          <w:bCs/>
          <w:sz w:val="32"/>
          <w:szCs w:val="32"/>
        </w:rPr>
        <w:t>年，生活垃圾处理设施建设及管理达到国际一流水平，幸福广州品质更高，生活垃圾治理能力和治理体系现代化建设目标全面实现。</w:t>
      </w:r>
    </w:p>
    <w:p w:rsidR="00A73074" w:rsidRDefault="00CF0EBA">
      <w:pPr>
        <w:spacing w:line="560" w:lineRule="exact"/>
        <w:ind w:firstLineChars="200" w:firstLine="640"/>
        <w:rPr>
          <w:rFonts w:ascii="宋体" w:eastAsia="宋体" w:hAnsi="宋体"/>
          <w:bCs/>
          <w:sz w:val="32"/>
          <w:szCs w:val="32"/>
        </w:rPr>
      </w:pPr>
      <w:r>
        <w:rPr>
          <w:rFonts w:ascii="宋体" w:eastAsia="宋体" w:hAnsi="宋体" w:hint="eastAsia"/>
          <w:bCs/>
          <w:sz w:val="32"/>
          <w:szCs w:val="32"/>
        </w:rPr>
        <w:t>至</w:t>
      </w:r>
      <w:r>
        <w:rPr>
          <w:rFonts w:ascii="宋体" w:eastAsia="宋体" w:hAnsi="宋体"/>
          <w:bCs/>
          <w:sz w:val="32"/>
          <w:szCs w:val="32"/>
        </w:rPr>
        <w:t>2025</w:t>
      </w:r>
      <w:r>
        <w:rPr>
          <w:rFonts w:ascii="宋体" w:eastAsia="宋体" w:hAnsi="宋体" w:hint="eastAsia"/>
          <w:bCs/>
          <w:sz w:val="32"/>
          <w:szCs w:val="32"/>
        </w:rPr>
        <w:t>年，广州市生活垃圾治理能力大幅提升，生活垃圾终处理设施处理能力继续加强，原生垃圾实现“零填埋”，</w:t>
      </w:r>
      <w:r>
        <w:rPr>
          <w:rFonts w:ascii="宋体" w:eastAsia="宋体" w:hAnsi="宋体" w:hint="eastAsia"/>
          <w:bCs/>
          <w:sz w:val="32"/>
          <w:szCs w:val="32"/>
        </w:rPr>
        <w:lastRenderedPageBreak/>
        <w:t>循环经济产业园区建设和管理更加科学化、精细化、智能化，生活垃圾治理能力和治理体系现代化走在全国前列，进一步助力广州建设资源节约型和环境友好型的美丽宜居花城。围绕</w:t>
      </w:r>
      <w:r>
        <w:rPr>
          <w:rFonts w:ascii="宋体" w:eastAsia="宋体" w:hAnsi="宋体"/>
          <w:bCs/>
          <w:sz w:val="32"/>
          <w:szCs w:val="32"/>
        </w:rPr>
        <w:t>“</w:t>
      </w:r>
      <w:r>
        <w:rPr>
          <w:rFonts w:ascii="宋体" w:eastAsia="宋体" w:hAnsi="宋体" w:hint="eastAsia"/>
          <w:bCs/>
          <w:sz w:val="32"/>
          <w:szCs w:val="32"/>
        </w:rPr>
        <w:t>十四五</w:t>
      </w:r>
      <w:r>
        <w:rPr>
          <w:rFonts w:ascii="宋体" w:eastAsia="宋体" w:hAnsi="宋体"/>
          <w:bCs/>
          <w:sz w:val="32"/>
          <w:szCs w:val="32"/>
        </w:rPr>
        <w:t>”</w:t>
      </w:r>
      <w:r>
        <w:rPr>
          <w:rFonts w:ascii="宋体" w:eastAsia="宋体" w:hAnsi="宋体" w:hint="eastAsia"/>
          <w:bCs/>
          <w:sz w:val="32"/>
          <w:szCs w:val="32"/>
        </w:rPr>
        <w:t>发展目标，设置</w:t>
      </w:r>
      <w:r>
        <w:rPr>
          <w:rFonts w:ascii="宋体" w:eastAsia="宋体" w:hAnsi="宋体"/>
          <w:bCs/>
          <w:sz w:val="32"/>
          <w:szCs w:val="32"/>
        </w:rPr>
        <w:t>4</w:t>
      </w:r>
      <w:r>
        <w:rPr>
          <w:rFonts w:ascii="宋体" w:eastAsia="宋体" w:hAnsi="宋体" w:hint="eastAsia"/>
          <w:bCs/>
          <w:sz w:val="32"/>
          <w:szCs w:val="32"/>
        </w:rPr>
        <w:t>项核心指标，其中</w:t>
      </w:r>
      <w:r>
        <w:rPr>
          <w:rFonts w:ascii="宋体" w:eastAsia="宋体" w:hAnsi="宋体"/>
          <w:bCs/>
          <w:sz w:val="32"/>
          <w:szCs w:val="32"/>
        </w:rPr>
        <w:t>1</w:t>
      </w:r>
      <w:r>
        <w:rPr>
          <w:rFonts w:ascii="宋体" w:eastAsia="宋体" w:hAnsi="宋体" w:hint="eastAsia"/>
          <w:bCs/>
          <w:sz w:val="32"/>
          <w:szCs w:val="32"/>
        </w:rPr>
        <w:t>项约束性指标，</w:t>
      </w:r>
      <w:r>
        <w:rPr>
          <w:rFonts w:ascii="宋体" w:eastAsia="宋体" w:hAnsi="宋体"/>
          <w:bCs/>
          <w:sz w:val="32"/>
          <w:szCs w:val="32"/>
        </w:rPr>
        <w:t>3</w:t>
      </w:r>
      <w:r>
        <w:rPr>
          <w:rFonts w:ascii="宋体" w:eastAsia="宋体" w:hAnsi="宋体" w:hint="eastAsia"/>
          <w:bCs/>
          <w:sz w:val="32"/>
          <w:szCs w:val="32"/>
        </w:rPr>
        <w:t>项预期性指标：</w:t>
      </w:r>
    </w:p>
    <w:p w:rsidR="00A73074" w:rsidRDefault="00CF0EBA">
      <w:pPr>
        <w:tabs>
          <w:tab w:val="left" w:pos="709"/>
          <w:tab w:val="left" w:pos="2977"/>
        </w:tabs>
        <w:spacing w:line="360" w:lineRule="auto"/>
        <w:jc w:val="center"/>
        <w:rPr>
          <w:rFonts w:ascii="宋体" w:eastAsia="宋体" w:hAnsi="宋体"/>
          <w:b/>
          <w:sz w:val="28"/>
          <w:szCs w:val="28"/>
        </w:rPr>
      </w:pPr>
      <w:r>
        <w:rPr>
          <w:rFonts w:ascii="宋体" w:eastAsia="宋体" w:hAnsi="宋体" w:hint="eastAsia"/>
          <w:b/>
          <w:sz w:val="28"/>
          <w:szCs w:val="28"/>
        </w:rPr>
        <w:t>表</w:t>
      </w:r>
      <w:r>
        <w:rPr>
          <w:rFonts w:ascii="宋体" w:eastAsia="宋体" w:hAnsi="宋体"/>
          <w:b/>
          <w:sz w:val="28"/>
          <w:szCs w:val="28"/>
        </w:rPr>
        <w:t>3-1</w:t>
      </w:r>
      <w:r>
        <w:rPr>
          <w:rFonts w:ascii="宋体" w:eastAsia="宋体" w:hAnsi="宋体" w:hint="eastAsia"/>
          <w:b/>
          <w:sz w:val="28"/>
          <w:szCs w:val="28"/>
        </w:rPr>
        <w:t>广州市生活垃圾处理设施建设“十四五”规划指标表</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5"/>
        <w:gridCol w:w="851"/>
        <w:gridCol w:w="1417"/>
        <w:gridCol w:w="1418"/>
        <w:gridCol w:w="1412"/>
      </w:tblGrid>
      <w:tr w:rsidR="00A73074">
        <w:trPr>
          <w:trHeight w:val="323"/>
          <w:jc w:val="center"/>
        </w:trPr>
        <w:tc>
          <w:tcPr>
            <w:tcW w:w="709" w:type="dxa"/>
            <w:shd w:val="clear" w:color="auto" w:fill="D9D9D9" w:themeFill="background1" w:themeFillShade="D9"/>
            <w:vAlign w:val="center"/>
          </w:tcPr>
          <w:p w:rsidR="00A73074" w:rsidRDefault="00CF0EBA">
            <w:pPr>
              <w:spacing w:line="360" w:lineRule="auto"/>
              <w:ind w:rightChars="16" w:right="34"/>
              <w:jc w:val="center"/>
              <w:rPr>
                <w:rFonts w:ascii="宋体" w:eastAsia="宋体" w:hAnsi="宋体"/>
                <w:b/>
                <w:sz w:val="24"/>
                <w:szCs w:val="24"/>
              </w:rPr>
            </w:pPr>
            <w:r>
              <w:rPr>
                <w:rFonts w:ascii="宋体" w:eastAsia="宋体" w:hAnsi="宋体" w:hint="eastAsia"/>
                <w:b/>
                <w:sz w:val="24"/>
                <w:szCs w:val="24"/>
              </w:rPr>
              <w:t>序号</w:t>
            </w:r>
          </w:p>
        </w:tc>
        <w:tc>
          <w:tcPr>
            <w:tcW w:w="2835" w:type="dxa"/>
            <w:shd w:val="clear" w:color="auto" w:fill="D9D9D9" w:themeFill="background1" w:themeFillShade="D9"/>
            <w:vAlign w:val="center"/>
          </w:tcPr>
          <w:p w:rsidR="00A73074" w:rsidRDefault="00CF0EBA">
            <w:pPr>
              <w:spacing w:line="360" w:lineRule="auto"/>
              <w:ind w:rightChars="16" w:right="34"/>
              <w:jc w:val="center"/>
              <w:rPr>
                <w:rFonts w:ascii="宋体" w:eastAsia="宋体" w:hAnsi="宋体"/>
                <w:b/>
                <w:sz w:val="24"/>
                <w:szCs w:val="24"/>
              </w:rPr>
            </w:pPr>
            <w:r>
              <w:rPr>
                <w:rFonts w:ascii="宋体" w:eastAsia="宋体" w:hAnsi="宋体" w:hint="eastAsia"/>
                <w:b/>
                <w:sz w:val="24"/>
                <w:szCs w:val="24"/>
              </w:rPr>
              <w:t>指标名称</w:t>
            </w:r>
          </w:p>
        </w:tc>
        <w:tc>
          <w:tcPr>
            <w:tcW w:w="851" w:type="dxa"/>
            <w:shd w:val="clear" w:color="auto" w:fill="D9D9D9" w:themeFill="background1" w:themeFillShade="D9"/>
            <w:vAlign w:val="center"/>
          </w:tcPr>
          <w:p w:rsidR="00A73074" w:rsidRDefault="00CF0EBA">
            <w:pPr>
              <w:spacing w:line="360" w:lineRule="auto"/>
              <w:ind w:rightChars="16" w:right="34"/>
              <w:jc w:val="center"/>
              <w:rPr>
                <w:rFonts w:ascii="宋体" w:eastAsia="宋体" w:hAnsi="宋体"/>
                <w:b/>
                <w:sz w:val="24"/>
                <w:szCs w:val="24"/>
              </w:rPr>
            </w:pPr>
            <w:r>
              <w:rPr>
                <w:rFonts w:ascii="宋体" w:eastAsia="宋体" w:hAnsi="宋体" w:hint="eastAsia"/>
                <w:b/>
                <w:sz w:val="24"/>
                <w:szCs w:val="24"/>
              </w:rPr>
              <w:t>单位</w:t>
            </w:r>
          </w:p>
        </w:tc>
        <w:tc>
          <w:tcPr>
            <w:tcW w:w="1417" w:type="dxa"/>
            <w:shd w:val="clear" w:color="auto" w:fill="D9D9D9" w:themeFill="background1" w:themeFillShade="D9"/>
          </w:tcPr>
          <w:p w:rsidR="00A73074" w:rsidRDefault="00CF0EBA">
            <w:pPr>
              <w:spacing w:line="360" w:lineRule="auto"/>
              <w:ind w:rightChars="46" w:right="97"/>
              <w:jc w:val="center"/>
              <w:rPr>
                <w:rFonts w:ascii="宋体" w:eastAsia="宋体" w:hAnsi="宋体"/>
                <w:b/>
                <w:sz w:val="24"/>
                <w:szCs w:val="24"/>
              </w:rPr>
            </w:pPr>
            <w:r>
              <w:rPr>
                <w:rFonts w:ascii="宋体" w:eastAsia="宋体" w:hAnsi="宋体" w:hint="eastAsia"/>
                <w:b/>
                <w:sz w:val="24"/>
                <w:szCs w:val="24"/>
              </w:rPr>
              <w:t>2</w:t>
            </w:r>
            <w:r>
              <w:rPr>
                <w:rFonts w:ascii="宋体" w:eastAsia="宋体" w:hAnsi="宋体"/>
                <w:b/>
                <w:sz w:val="24"/>
                <w:szCs w:val="24"/>
              </w:rPr>
              <w:t>020</w:t>
            </w:r>
            <w:r>
              <w:rPr>
                <w:rFonts w:ascii="宋体" w:eastAsia="宋体" w:hAnsi="宋体" w:hint="eastAsia"/>
                <w:b/>
                <w:sz w:val="24"/>
                <w:szCs w:val="24"/>
              </w:rPr>
              <w:t>年完成值</w:t>
            </w:r>
          </w:p>
        </w:tc>
        <w:tc>
          <w:tcPr>
            <w:tcW w:w="1418" w:type="dxa"/>
            <w:shd w:val="clear" w:color="auto" w:fill="D9D9D9" w:themeFill="background1" w:themeFillShade="D9"/>
            <w:vAlign w:val="center"/>
          </w:tcPr>
          <w:p w:rsidR="00A73074" w:rsidRDefault="00CF0EBA">
            <w:pPr>
              <w:spacing w:line="360" w:lineRule="auto"/>
              <w:ind w:rightChars="46" w:right="97"/>
              <w:jc w:val="center"/>
              <w:rPr>
                <w:rFonts w:ascii="宋体" w:eastAsia="宋体" w:hAnsi="宋体"/>
                <w:b/>
                <w:sz w:val="24"/>
                <w:szCs w:val="24"/>
              </w:rPr>
            </w:pPr>
            <w:r>
              <w:rPr>
                <w:rFonts w:ascii="宋体" w:eastAsia="宋体" w:hAnsi="宋体" w:hint="eastAsia"/>
                <w:b/>
                <w:sz w:val="24"/>
                <w:szCs w:val="24"/>
              </w:rPr>
              <w:t>2</w:t>
            </w:r>
            <w:r>
              <w:rPr>
                <w:rFonts w:ascii="宋体" w:eastAsia="宋体" w:hAnsi="宋体"/>
                <w:b/>
                <w:sz w:val="24"/>
                <w:szCs w:val="24"/>
              </w:rPr>
              <w:t>025</w:t>
            </w:r>
            <w:r>
              <w:rPr>
                <w:rFonts w:ascii="宋体" w:eastAsia="宋体" w:hAnsi="宋体" w:hint="eastAsia"/>
                <w:b/>
                <w:sz w:val="24"/>
                <w:szCs w:val="24"/>
              </w:rPr>
              <w:t>年目标值</w:t>
            </w:r>
          </w:p>
        </w:tc>
        <w:tc>
          <w:tcPr>
            <w:tcW w:w="1412" w:type="dxa"/>
            <w:shd w:val="clear" w:color="auto" w:fill="D9D9D9" w:themeFill="background1" w:themeFillShade="D9"/>
            <w:vAlign w:val="center"/>
          </w:tcPr>
          <w:p w:rsidR="00A73074" w:rsidRDefault="00CF0EBA">
            <w:pPr>
              <w:spacing w:line="360" w:lineRule="auto"/>
              <w:ind w:rightChars="46" w:right="97"/>
              <w:jc w:val="center"/>
              <w:rPr>
                <w:rFonts w:ascii="宋体" w:eastAsia="宋体" w:hAnsi="宋体"/>
                <w:b/>
                <w:sz w:val="24"/>
                <w:szCs w:val="24"/>
              </w:rPr>
            </w:pPr>
            <w:r>
              <w:rPr>
                <w:rFonts w:ascii="宋体" w:eastAsia="宋体" w:hAnsi="宋体" w:hint="eastAsia"/>
                <w:b/>
                <w:sz w:val="24"/>
                <w:szCs w:val="24"/>
              </w:rPr>
              <w:t>指标属性</w:t>
            </w:r>
          </w:p>
        </w:tc>
      </w:tr>
      <w:tr w:rsidR="00A73074">
        <w:trPr>
          <w:trHeight w:val="303"/>
          <w:jc w:val="center"/>
        </w:trPr>
        <w:tc>
          <w:tcPr>
            <w:tcW w:w="709" w:type="dxa"/>
            <w:vAlign w:val="center"/>
          </w:tcPr>
          <w:p w:rsidR="00A73074" w:rsidRDefault="00CF0EBA">
            <w:pPr>
              <w:spacing w:line="360" w:lineRule="auto"/>
              <w:ind w:rightChars="16" w:right="34"/>
              <w:jc w:val="center"/>
              <w:rPr>
                <w:rFonts w:ascii="宋体" w:eastAsia="宋体" w:hAnsi="宋体"/>
                <w:bCs/>
                <w:sz w:val="24"/>
                <w:szCs w:val="24"/>
              </w:rPr>
            </w:pPr>
            <w:r>
              <w:rPr>
                <w:rFonts w:ascii="宋体" w:eastAsia="宋体" w:hAnsi="宋体" w:hint="eastAsia"/>
                <w:bCs/>
                <w:sz w:val="24"/>
                <w:szCs w:val="24"/>
              </w:rPr>
              <w:t>1</w:t>
            </w:r>
          </w:p>
        </w:tc>
        <w:tc>
          <w:tcPr>
            <w:tcW w:w="2835" w:type="dxa"/>
            <w:vAlign w:val="center"/>
          </w:tcPr>
          <w:p w:rsidR="00A73074" w:rsidRDefault="00CF0EBA">
            <w:pPr>
              <w:spacing w:line="360" w:lineRule="auto"/>
              <w:ind w:rightChars="-171" w:right="-359"/>
              <w:rPr>
                <w:rFonts w:ascii="宋体" w:eastAsia="宋体" w:hAnsi="宋体"/>
                <w:bCs/>
                <w:sz w:val="24"/>
                <w:szCs w:val="24"/>
              </w:rPr>
            </w:pPr>
            <w:r>
              <w:rPr>
                <w:rFonts w:ascii="宋体" w:eastAsia="宋体" w:hAnsi="宋体" w:hint="eastAsia"/>
                <w:bCs/>
                <w:sz w:val="24"/>
                <w:szCs w:val="24"/>
              </w:rPr>
              <w:t>生活</w:t>
            </w:r>
            <w:r>
              <w:rPr>
                <w:rFonts w:ascii="宋体" w:eastAsia="宋体" w:hAnsi="宋体"/>
                <w:bCs/>
                <w:sz w:val="24"/>
                <w:szCs w:val="24"/>
              </w:rPr>
              <w:t>垃圾无害化处理率</w:t>
            </w:r>
          </w:p>
        </w:tc>
        <w:tc>
          <w:tcPr>
            <w:tcW w:w="851" w:type="dxa"/>
            <w:vAlign w:val="center"/>
          </w:tcPr>
          <w:p w:rsidR="00A73074" w:rsidRDefault="00CF0EBA">
            <w:pPr>
              <w:spacing w:line="360" w:lineRule="auto"/>
              <w:ind w:rightChars="16" w:right="34"/>
              <w:jc w:val="center"/>
              <w:rPr>
                <w:rFonts w:ascii="宋体" w:eastAsia="宋体" w:hAnsi="宋体"/>
                <w:bCs/>
                <w:sz w:val="24"/>
                <w:szCs w:val="24"/>
              </w:rPr>
            </w:pPr>
            <w:r>
              <w:rPr>
                <w:rFonts w:ascii="宋体" w:eastAsia="宋体" w:hAnsi="宋体" w:hint="eastAsia"/>
                <w:bCs/>
                <w:sz w:val="24"/>
                <w:szCs w:val="24"/>
              </w:rPr>
              <w:t>%</w:t>
            </w:r>
          </w:p>
        </w:tc>
        <w:tc>
          <w:tcPr>
            <w:tcW w:w="1417" w:type="dxa"/>
            <w:vAlign w:val="center"/>
          </w:tcPr>
          <w:p w:rsidR="00A73074" w:rsidRDefault="00CF0EBA">
            <w:pPr>
              <w:spacing w:line="360" w:lineRule="auto"/>
              <w:ind w:rightChars="46" w:right="97"/>
              <w:jc w:val="center"/>
              <w:rPr>
                <w:rFonts w:ascii="宋体" w:eastAsia="宋体" w:hAnsi="宋体"/>
                <w:bCs/>
                <w:sz w:val="24"/>
                <w:szCs w:val="24"/>
              </w:rPr>
            </w:pPr>
            <w:r>
              <w:rPr>
                <w:rFonts w:ascii="宋体" w:eastAsia="宋体" w:hAnsi="宋体"/>
                <w:bCs/>
                <w:sz w:val="24"/>
                <w:szCs w:val="24"/>
              </w:rPr>
              <w:t>100</w:t>
            </w:r>
          </w:p>
        </w:tc>
        <w:tc>
          <w:tcPr>
            <w:tcW w:w="1418" w:type="dxa"/>
            <w:vAlign w:val="center"/>
          </w:tcPr>
          <w:p w:rsidR="00A73074" w:rsidRDefault="00CF0EBA">
            <w:pPr>
              <w:spacing w:line="360" w:lineRule="auto"/>
              <w:ind w:rightChars="46" w:right="97"/>
              <w:jc w:val="center"/>
              <w:rPr>
                <w:rFonts w:ascii="宋体" w:eastAsia="宋体" w:hAnsi="宋体"/>
                <w:bCs/>
                <w:sz w:val="24"/>
                <w:szCs w:val="24"/>
              </w:rPr>
            </w:pPr>
            <w:r>
              <w:rPr>
                <w:rFonts w:ascii="宋体" w:eastAsia="宋体" w:hAnsi="宋体" w:hint="eastAsia"/>
                <w:bCs/>
                <w:sz w:val="24"/>
                <w:szCs w:val="24"/>
              </w:rPr>
              <w:t>100</w:t>
            </w:r>
          </w:p>
        </w:tc>
        <w:tc>
          <w:tcPr>
            <w:tcW w:w="1412" w:type="dxa"/>
            <w:vAlign w:val="center"/>
          </w:tcPr>
          <w:p w:rsidR="00A73074" w:rsidRDefault="00CF0EBA">
            <w:pPr>
              <w:spacing w:line="360" w:lineRule="auto"/>
              <w:ind w:rightChars="46" w:right="97"/>
              <w:jc w:val="center"/>
              <w:rPr>
                <w:rFonts w:ascii="宋体" w:eastAsia="宋体" w:hAnsi="宋体"/>
                <w:bCs/>
                <w:sz w:val="24"/>
                <w:szCs w:val="24"/>
              </w:rPr>
            </w:pPr>
            <w:r>
              <w:rPr>
                <w:rFonts w:ascii="宋体" w:eastAsia="宋体" w:hAnsi="宋体" w:hint="eastAsia"/>
                <w:bCs/>
                <w:sz w:val="24"/>
                <w:szCs w:val="24"/>
              </w:rPr>
              <w:t>约束性</w:t>
            </w:r>
          </w:p>
        </w:tc>
      </w:tr>
      <w:tr w:rsidR="00A73074">
        <w:trPr>
          <w:trHeight w:val="631"/>
          <w:jc w:val="center"/>
        </w:trPr>
        <w:tc>
          <w:tcPr>
            <w:tcW w:w="709" w:type="dxa"/>
            <w:vAlign w:val="center"/>
          </w:tcPr>
          <w:p w:rsidR="00A73074" w:rsidRDefault="00CF0EBA">
            <w:pPr>
              <w:spacing w:line="360" w:lineRule="auto"/>
              <w:ind w:rightChars="16" w:right="34"/>
              <w:jc w:val="center"/>
              <w:rPr>
                <w:rFonts w:ascii="宋体" w:eastAsia="宋体" w:hAnsi="宋体"/>
                <w:bCs/>
                <w:sz w:val="24"/>
                <w:szCs w:val="24"/>
              </w:rPr>
            </w:pPr>
            <w:r>
              <w:rPr>
                <w:rFonts w:ascii="宋体" w:eastAsia="宋体" w:hAnsi="宋体"/>
                <w:bCs/>
                <w:sz w:val="24"/>
                <w:szCs w:val="24"/>
              </w:rPr>
              <w:t>2</w:t>
            </w:r>
          </w:p>
        </w:tc>
        <w:tc>
          <w:tcPr>
            <w:tcW w:w="2835" w:type="dxa"/>
            <w:vAlign w:val="center"/>
          </w:tcPr>
          <w:p w:rsidR="00A73074" w:rsidRDefault="00CF0EBA">
            <w:pPr>
              <w:spacing w:line="360" w:lineRule="auto"/>
              <w:ind w:rightChars="-171" w:right="-359"/>
              <w:rPr>
                <w:rFonts w:ascii="宋体" w:eastAsia="宋体" w:hAnsi="宋体"/>
                <w:bCs/>
                <w:sz w:val="24"/>
                <w:szCs w:val="24"/>
              </w:rPr>
            </w:pPr>
            <w:r>
              <w:rPr>
                <w:rFonts w:ascii="宋体" w:eastAsia="宋体" w:hAnsi="宋体" w:hint="eastAsia"/>
                <w:bCs/>
                <w:sz w:val="24"/>
                <w:szCs w:val="24"/>
              </w:rPr>
              <w:t>原生生活垃圾填埋率</w:t>
            </w:r>
          </w:p>
        </w:tc>
        <w:tc>
          <w:tcPr>
            <w:tcW w:w="851" w:type="dxa"/>
            <w:vAlign w:val="center"/>
          </w:tcPr>
          <w:p w:rsidR="00A73074" w:rsidRDefault="00CF0EBA">
            <w:pPr>
              <w:spacing w:line="360" w:lineRule="auto"/>
              <w:ind w:rightChars="16" w:right="34"/>
              <w:jc w:val="center"/>
              <w:rPr>
                <w:rFonts w:ascii="宋体" w:eastAsia="宋体" w:hAnsi="宋体"/>
                <w:bCs/>
                <w:sz w:val="24"/>
                <w:szCs w:val="24"/>
              </w:rPr>
            </w:pPr>
            <w:r>
              <w:rPr>
                <w:rFonts w:ascii="宋体" w:eastAsia="宋体" w:hAnsi="宋体" w:hint="eastAsia"/>
                <w:bCs/>
                <w:sz w:val="24"/>
                <w:szCs w:val="24"/>
              </w:rPr>
              <w:t>%</w:t>
            </w:r>
          </w:p>
        </w:tc>
        <w:tc>
          <w:tcPr>
            <w:tcW w:w="1417" w:type="dxa"/>
            <w:vAlign w:val="center"/>
          </w:tcPr>
          <w:p w:rsidR="00A73074" w:rsidRDefault="00CF0EBA">
            <w:pPr>
              <w:spacing w:line="360" w:lineRule="auto"/>
              <w:ind w:rightChars="46" w:right="97"/>
              <w:jc w:val="center"/>
              <w:rPr>
                <w:rFonts w:ascii="宋体" w:eastAsia="宋体" w:hAnsi="宋体"/>
                <w:bCs/>
                <w:sz w:val="24"/>
                <w:szCs w:val="24"/>
              </w:rPr>
            </w:pPr>
            <w:r>
              <w:rPr>
                <w:rFonts w:ascii="宋体" w:eastAsia="宋体" w:hAnsi="宋体"/>
                <w:bCs/>
                <w:sz w:val="24"/>
                <w:szCs w:val="24"/>
              </w:rPr>
              <w:t>25</w:t>
            </w:r>
          </w:p>
        </w:tc>
        <w:tc>
          <w:tcPr>
            <w:tcW w:w="1418" w:type="dxa"/>
            <w:vAlign w:val="center"/>
          </w:tcPr>
          <w:p w:rsidR="00A73074" w:rsidRDefault="00CF0EBA">
            <w:pPr>
              <w:spacing w:line="360" w:lineRule="auto"/>
              <w:ind w:rightChars="46" w:right="97"/>
              <w:jc w:val="center"/>
              <w:rPr>
                <w:rFonts w:ascii="宋体" w:eastAsia="宋体" w:hAnsi="宋体"/>
                <w:bCs/>
                <w:sz w:val="24"/>
                <w:szCs w:val="24"/>
              </w:rPr>
            </w:pPr>
            <w:r>
              <w:rPr>
                <w:rFonts w:ascii="宋体" w:eastAsia="宋体" w:hAnsi="宋体"/>
                <w:bCs/>
                <w:sz w:val="24"/>
                <w:szCs w:val="24"/>
              </w:rPr>
              <w:t>0</w:t>
            </w:r>
          </w:p>
        </w:tc>
        <w:tc>
          <w:tcPr>
            <w:tcW w:w="1412" w:type="dxa"/>
            <w:vAlign w:val="center"/>
          </w:tcPr>
          <w:p w:rsidR="00A73074" w:rsidRDefault="00CF0EBA">
            <w:pPr>
              <w:spacing w:line="360" w:lineRule="auto"/>
              <w:ind w:rightChars="46" w:right="97"/>
              <w:jc w:val="center"/>
              <w:rPr>
                <w:rFonts w:ascii="宋体" w:eastAsia="宋体" w:hAnsi="宋体"/>
                <w:bCs/>
                <w:sz w:val="24"/>
                <w:szCs w:val="24"/>
              </w:rPr>
            </w:pPr>
            <w:r>
              <w:rPr>
                <w:rFonts w:ascii="宋体" w:eastAsia="宋体" w:hAnsi="宋体" w:hint="eastAsia"/>
                <w:bCs/>
                <w:sz w:val="24"/>
                <w:szCs w:val="24"/>
              </w:rPr>
              <w:t>预期性</w:t>
            </w:r>
          </w:p>
        </w:tc>
      </w:tr>
      <w:tr w:rsidR="00A73074">
        <w:trPr>
          <w:trHeight w:val="631"/>
          <w:jc w:val="center"/>
        </w:trPr>
        <w:tc>
          <w:tcPr>
            <w:tcW w:w="709" w:type="dxa"/>
            <w:vAlign w:val="center"/>
          </w:tcPr>
          <w:p w:rsidR="00A73074" w:rsidRDefault="00CF0EBA">
            <w:pPr>
              <w:spacing w:line="360" w:lineRule="auto"/>
              <w:ind w:rightChars="16" w:right="34"/>
              <w:jc w:val="center"/>
              <w:rPr>
                <w:rFonts w:ascii="宋体" w:eastAsia="宋体" w:hAnsi="宋体"/>
                <w:bCs/>
                <w:sz w:val="24"/>
                <w:szCs w:val="24"/>
              </w:rPr>
            </w:pPr>
            <w:r>
              <w:rPr>
                <w:rFonts w:ascii="宋体" w:eastAsia="宋体" w:hAnsi="宋体"/>
                <w:bCs/>
                <w:sz w:val="24"/>
                <w:szCs w:val="24"/>
              </w:rPr>
              <w:t>3</w:t>
            </w:r>
          </w:p>
        </w:tc>
        <w:tc>
          <w:tcPr>
            <w:tcW w:w="2835" w:type="dxa"/>
            <w:vAlign w:val="center"/>
          </w:tcPr>
          <w:p w:rsidR="00A73074" w:rsidRDefault="00CF0EBA">
            <w:pPr>
              <w:spacing w:line="360" w:lineRule="auto"/>
              <w:ind w:rightChars="-171" w:right="-359"/>
              <w:rPr>
                <w:rFonts w:ascii="宋体" w:eastAsia="宋体" w:hAnsi="宋体"/>
                <w:bCs/>
                <w:sz w:val="24"/>
                <w:szCs w:val="24"/>
              </w:rPr>
            </w:pPr>
            <w:r>
              <w:rPr>
                <w:rFonts w:ascii="宋体" w:eastAsia="宋体" w:hAnsi="宋体" w:hint="eastAsia"/>
                <w:bCs/>
                <w:sz w:val="24"/>
                <w:szCs w:val="24"/>
              </w:rPr>
              <w:t>生活垃圾焚烧处理能力</w:t>
            </w:r>
          </w:p>
        </w:tc>
        <w:tc>
          <w:tcPr>
            <w:tcW w:w="851" w:type="dxa"/>
            <w:vAlign w:val="center"/>
          </w:tcPr>
          <w:p w:rsidR="00A73074" w:rsidRDefault="00CF0EBA">
            <w:pPr>
              <w:spacing w:line="360" w:lineRule="auto"/>
              <w:ind w:rightChars="-171" w:right="-359"/>
              <w:rPr>
                <w:rFonts w:ascii="宋体" w:eastAsia="宋体" w:hAnsi="宋体"/>
                <w:bCs/>
                <w:sz w:val="24"/>
                <w:szCs w:val="24"/>
              </w:rPr>
            </w:pPr>
            <w:r>
              <w:rPr>
                <w:rFonts w:ascii="宋体" w:eastAsia="宋体" w:hAnsi="宋体" w:hint="eastAsia"/>
                <w:bCs/>
                <w:sz w:val="24"/>
                <w:szCs w:val="24"/>
              </w:rPr>
              <w:t>吨</w:t>
            </w:r>
            <w:r>
              <w:rPr>
                <w:rFonts w:ascii="宋体" w:eastAsia="宋体" w:hAnsi="宋体"/>
                <w:bCs/>
                <w:sz w:val="24"/>
                <w:szCs w:val="24"/>
              </w:rPr>
              <w:t>/</w:t>
            </w:r>
            <w:r>
              <w:rPr>
                <w:rFonts w:ascii="宋体" w:eastAsia="宋体" w:hAnsi="宋体"/>
                <w:bCs/>
                <w:sz w:val="24"/>
                <w:szCs w:val="24"/>
              </w:rPr>
              <w:t>日</w:t>
            </w:r>
          </w:p>
        </w:tc>
        <w:tc>
          <w:tcPr>
            <w:tcW w:w="1417" w:type="dxa"/>
            <w:vAlign w:val="center"/>
          </w:tcPr>
          <w:p w:rsidR="00A73074" w:rsidRDefault="00CF0EBA">
            <w:pPr>
              <w:spacing w:line="360" w:lineRule="auto"/>
              <w:ind w:rightChars="46" w:right="97"/>
              <w:jc w:val="center"/>
              <w:rPr>
                <w:rFonts w:ascii="宋体" w:eastAsia="宋体" w:hAnsi="宋体"/>
                <w:bCs/>
                <w:sz w:val="24"/>
                <w:szCs w:val="24"/>
              </w:rPr>
            </w:pPr>
            <w:r>
              <w:rPr>
                <w:rFonts w:ascii="宋体" w:eastAsia="宋体" w:hAnsi="宋体" w:hint="eastAsia"/>
                <w:bCs/>
                <w:sz w:val="24"/>
                <w:szCs w:val="24"/>
              </w:rPr>
              <w:t>1</w:t>
            </w:r>
            <w:r>
              <w:rPr>
                <w:rFonts w:ascii="宋体" w:eastAsia="宋体" w:hAnsi="宋体"/>
                <w:bCs/>
                <w:sz w:val="24"/>
                <w:szCs w:val="24"/>
              </w:rPr>
              <w:t>4000</w:t>
            </w:r>
          </w:p>
        </w:tc>
        <w:tc>
          <w:tcPr>
            <w:tcW w:w="1418" w:type="dxa"/>
            <w:vAlign w:val="center"/>
          </w:tcPr>
          <w:p w:rsidR="00A73074" w:rsidRDefault="00CF0EBA">
            <w:pPr>
              <w:spacing w:line="360" w:lineRule="auto"/>
              <w:ind w:rightChars="46" w:right="97"/>
              <w:jc w:val="center"/>
              <w:rPr>
                <w:rFonts w:ascii="宋体" w:eastAsia="宋体" w:hAnsi="宋体"/>
                <w:bCs/>
                <w:sz w:val="24"/>
                <w:szCs w:val="24"/>
              </w:rPr>
            </w:pPr>
            <w:r>
              <w:rPr>
                <w:rFonts w:ascii="宋体" w:eastAsia="宋体" w:hAnsi="宋体" w:hint="eastAsia"/>
                <w:bCs/>
                <w:sz w:val="24"/>
                <w:szCs w:val="24"/>
              </w:rPr>
              <w:t>3</w:t>
            </w:r>
            <w:r>
              <w:rPr>
                <w:rFonts w:ascii="宋体" w:eastAsia="宋体" w:hAnsi="宋体"/>
                <w:bCs/>
                <w:sz w:val="24"/>
                <w:szCs w:val="24"/>
              </w:rPr>
              <w:t>0000</w:t>
            </w:r>
          </w:p>
        </w:tc>
        <w:tc>
          <w:tcPr>
            <w:tcW w:w="1412" w:type="dxa"/>
            <w:vAlign w:val="center"/>
          </w:tcPr>
          <w:p w:rsidR="00A73074" w:rsidRDefault="00CF0EBA">
            <w:pPr>
              <w:spacing w:line="360" w:lineRule="auto"/>
              <w:ind w:rightChars="46" w:right="97"/>
              <w:jc w:val="center"/>
              <w:rPr>
                <w:rFonts w:ascii="宋体" w:eastAsia="宋体" w:hAnsi="宋体"/>
                <w:bCs/>
                <w:sz w:val="24"/>
                <w:szCs w:val="24"/>
              </w:rPr>
            </w:pPr>
            <w:r>
              <w:rPr>
                <w:rFonts w:ascii="宋体" w:eastAsia="宋体" w:hAnsi="宋体" w:hint="eastAsia"/>
                <w:bCs/>
                <w:sz w:val="24"/>
                <w:szCs w:val="24"/>
              </w:rPr>
              <w:t>预期性</w:t>
            </w:r>
          </w:p>
        </w:tc>
      </w:tr>
      <w:tr w:rsidR="00A73074">
        <w:trPr>
          <w:trHeight w:val="631"/>
          <w:jc w:val="center"/>
        </w:trPr>
        <w:tc>
          <w:tcPr>
            <w:tcW w:w="709" w:type="dxa"/>
            <w:vAlign w:val="center"/>
          </w:tcPr>
          <w:p w:rsidR="00A73074" w:rsidRDefault="00CF0EBA">
            <w:pPr>
              <w:spacing w:line="360" w:lineRule="auto"/>
              <w:ind w:rightChars="16" w:right="34"/>
              <w:jc w:val="center"/>
              <w:rPr>
                <w:rFonts w:ascii="宋体" w:eastAsia="宋体" w:hAnsi="宋体"/>
                <w:bCs/>
                <w:sz w:val="24"/>
                <w:szCs w:val="24"/>
              </w:rPr>
            </w:pPr>
            <w:r>
              <w:rPr>
                <w:rFonts w:ascii="宋体" w:eastAsia="宋体" w:hAnsi="宋体"/>
                <w:bCs/>
                <w:sz w:val="24"/>
                <w:szCs w:val="24"/>
              </w:rPr>
              <w:t>4</w:t>
            </w:r>
          </w:p>
        </w:tc>
        <w:tc>
          <w:tcPr>
            <w:tcW w:w="2835" w:type="dxa"/>
            <w:vAlign w:val="center"/>
          </w:tcPr>
          <w:p w:rsidR="00A73074" w:rsidRDefault="00CF0EBA">
            <w:pPr>
              <w:spacing w:line="360" w:lineRule="auto"/>
              <w:ind w:rightChars="-171" w:right="-359"/>
              <w:rPr>
                <w:rFonts w:ascii="宋体" w:eastAsia="宋体" w:hAnsi="宋体"/>
                <w:bCs/>
                <w:sz w:val="24"/>
                <w:szCs w:val="24"/>
              </w:rPr>
            </w:pPr>
            <w:r>
              <w:rPr>
                <w:rFonts w:ascii="宋体" w:eastAsia="宋体" w:hAnsi="宋体" w:hint="eastAsia"/>
                <w:bCs/>
                <w:sz w:val="24"/>
                <w:szCs w:val="24"/>
              </w:rPr>
              <w:t>厨余垃圾生化处理能力</w:t>
            </w:r>
          </w:p>
        </w:tc>
        <w:tc>
          <w:tcPr>
            <w:tcW w:w="851" w:type="dxa"/>
            <w:vAlign w:val="center"/>
          </w:tcPr>
          <w:p w:rsidR="00A73074" w:rsidRDefault="00CF0EBA">
            <w:pPr>
              <w:spacing w:line="360" w:lineRule="auto"/>
              <w:ind w:rightChars="-171" w:right="-359"/>
              <w:rPr>
                <w:rFonts w:ascii="宋体" w:eastAsia="宋体" w:hAnsi="宋体"/>
                <w:bCs/>
                <w:sz w:val="24"/>
                <w:szCs w:val="24"/>
              </w:rPr>
            </w:pPr>
            <w:r>
              <w:rPr>
                <w:rFonts w:ascii="宋体" w:eastAsia="宋体" w:hAnsi="宋体" w:hint="eastAsia"/>
                <w:bCs/>
                <w:sz w:val="24"/>
                <w:szCs w:val="24"/>
              </w:rPr>
              <w:t>吨</w:t>
            </w:r>
            <w:r>
              <w:rPr>
                <w:rFonts w:ascii="宋体" w:eastAsia="宋体" w:hAnsi="宋体"/>
                <w:bCs/>
                <w:sz w:val="24"/>
                <w:szCs w:val="24"/>
              </w:rPr>
              <w:t>/</w:t>
            </w:r>
            <w:r>
              <w:rPr>
                <w:rFonts w:ascii="宋体" w:eastAsia="宋体" w:hAnsi="宋体"/>
                <w:bCs/>
                <w:sz w:val="24"/>
                <w:szCs w:val="24"/>
              </w:rPr>
              <w:t>日</w:t>
            </w:r>
          </w:p>
        </w:tc>
        <w:tc>
          <w:tcPr>
            <w:tcW w:w="1417" w:type="dxa"/>
            <w:vAlign w:val="center"/>
          </w:tcPr>
          <w:p w:rsidR="00A73074" w:rsidRDefault="00CF0EBA">
            <w:pPr>
              <w:spacing w:line="360" w:lineRule="auto"/>
              <w:ind w:rightChars="46" w:right="97"/>
              <w:jc w:val="center"/>
              <w:rPr>
                <w:rFonts w:ascii="宋体" w:eastAsia="宋体" w:hAnsi="宋体"/>
                <w:bCs/>
                <w:sz w:val="24"/>
                <w:szCs w:val="24"/>
              </w:rPr>
            </w:pPr>
            <w:r>
              <w:rPr>
                <w:rFonts w:ascii="宋体" w:eastAsia="宋体" w:hAnsi="宋体"/>
                <w:bCs/>
                <w:sz w:val="24"/>
                <w:szCs w:val="24"/>
              </w:rPr>
              <w:t>2600</w:t>
            </w:r>
          </w:p>
        </w:tc>
        <w:tc>
          <w:tcPr>
            <w:tcW w:w="1418" w:type="dxa"/>
            <w:vAlign w:val="center"/>
          </w:tcPr>
          <w:p w:rsidR="00A73074" w:rsidRDefault="00CF0EBA">
            <w:pPr>
              <w:spacing w:line="360" w:lineRule="auto"/>
              <w:ind w:rightChars="46" w:right="97"/>
              <w:jc w:val="center"/>
              <w:rPr>
                <w:rFonts w:ascii="宋体" w:eastAsia="宋体" w:hAnsi="宋体"/>
                <w:bCs/>
                <w:sz w:val="24"/>
                <w:szCs w:val="24"/>
              </w:rPr>
            </w:pPr>
            <w:r>
              <w:rPr>
                <w:rFonts w:ascii="宋体" w:eastAsia="宋体" w:hAnsi="宋体"/>
                <w:bCs/>
                <w:sz w:val="24"/>
                <w:szCs w:val="24"/>
              </w:rPr>
              <w:t>4800</w:t>
            </w:r>
          </w:p>
        </w:tc>
        <w:tc>
          <w:tcPr>
            <w:tcW w:w="1412" w:type="dxa"/>
            <w:vAlign w:val="center"/>
          </w:tcPr>
          <w:p w:rsidR="00A73074" w:rsidRDefault="00CF0EBA">
            <w:pPr>
              <w:spacing w:line="360" w:lineRule="auto"/>
              <w:ind w:rightChars="46" w:right="97"/>
              <w:jc w:val="center"/>
              <w:rPr>
                <w:rFonts w:ascii="宋体" w:eastAsia="宋体" w:hAnsi="宋体"/>
                <w:bCs/>
                <w:sz w:val="24"/>
                <w:szCs w:val="24"/>
              </w:rPr>
            </w:pPr>
            <w:r>
              <w:rPr>
                <w:rFonts w:ascii="宋体" w:eastAsia="宋体" w:hAnsi="宋体" w:hint="eastAsia"/>
                <w:bCs/>
                <w:sz w:val="24"/>
                <w:szCs w:val="24"/>
              </w:rPr>
              <w:t>预期性</w:t>
            </w:r>
          </w:p>
        </w:tc>
      </w:tr>
    </w:tbl>
    <w:p w:rsidR="00A73074" w:rsidRDefault="00A73074">
      <w:pPr>
        <w:tabs>
          <w:tab w:val="left" w:pos="709"/>
          <w:tab w:val="left" w:pos="2977"/>
        </w:tabs>
        <w:spacing w:line="360" w:lineRule="auto"/>
        <w:ind w:firstLine="2"/>
        <w:jc w:val="center"/>
        <w:rPr>
          <w:rFonts w:ascii="宋体" w:eastAsia="宋体" w:hAnsi="宋体"/>
          <w:sz w:val="22"/>
          <w:szCs w:val="21"/>
        </w:rPr>
      </w:pPr>
    </w:p>
    <w:p w:rsidR="00A73074" w:rsidRDefault="00CF0EBA">
      <w:pPr>
        <w:spacing w:line="360" w:lineRule="auto"/>
        <w:rPr>
          <w:rFonts w:ascii="宋体" w:eastAsia="宋体" w:hAnsi="宋体"/>
        </w:rPr>
      </w:pPr>
      <w:r>
        <w:rPr>
          <w:rFonts w:ascii="宋体" w:eastAsia="宋体" w:hAnsi="宋体"/>
        </w:rPr>
        <w:br w:type="page"/>
      </w:r>
    </w:p>
    <w:p w:rsidR="00A73074" w:rsidRDefault="00CF0EBA">
      <w:pPr>
        <w:pStyle w:val="1"/>
        <w:rPr>
          <w:rFonts w:ascii="宋体" w:hAnsi="宋体"/>
          <w:sz w:val="32"/>
          <w:szCs w:val="32"/>
        </w:rPr>
      </w:pPr>
      <w:bookmarkStart w:id="14" w:name="_Toc97711970"/>
      <w:r>
        <w:rPr>
          <w:rFonts w:ascii="宋体" w:hAnsi="宋体" w:hint="eastAsia"/>
          <w:sz w:val="32"/>
          <w:szCs w:val="32"/>
        </w:rPr>
        <w:lastRenderedPageBreak/>
        <w:t>四、生活垃圾处理设施建设</w:t>
      </w:r>
      <w:bookmarkEnd w:id="14"/>
    </w:p>
    <w:p w:rsidR="00A73074" w:rsidRDefault="00CF0EBA">
      <w:pPr>
        <w:pStyle w:val="2"/>
        <w:rPr>
          <w:rFonts w:ascii="宋体" w:eastAsia="宋体" w:hAnsi="宋体"/>
        </w:rPr>
      </w:pPr>
      <w:bookmarkStart w:id="15" w:name="_Toc97711971"/>
      <w:bookmarkStart w:id="16" w:name="_Toc499284799"/>
      <w:bookmarkStart w:id="17" w:name="_Toc499284545"/>
      <w:r>
        <w:rPr>
          <w:rFonts w:ascii="宋体" w:eastAsia="宋体" w:hAnsi="宋体" w:hint="eastAsia"/>
        </w:rPr>
        <w:t>（一）循环经济产业园</w:t>
      </w:r>
      <w:bookmarkEnd w:id="15"/>
    </w:p>
    <w:p w:rsidR="00A73074" w:rsidRDefault="00CF0EBA">
      <w:pPr>
        <w:tabs>
          <w:tab w:val="left" w:pos="0"/>
          <w:tab w:val="left" w:pos="2977"/>
        </w:tabs>
        <w:spacing w:line="360" w:lineRule="auto"/>
        <w:ind w:firstLineChars="200" w:firstLine="640"/>
      </w:pPr>
      <w:r>
        <w:rPr>
          <w:rFonts w:ascii="宋体" w:eastAsia="宋体" w:hAnsi="宋体" w:hint="eastAsia"/>
          <w:sz w:val="32"/>
          <w:szCs w:val="32"/>
        </w:rPr>
        <w:t>深入贯彻落实“创新、协调、绿色、开放、共享”新发展理念，继续推动垃圾终端处理园区化、智能化、生态化，完善七个循环经济产业园配套设施，积极整合垃圾焚烧发电、厨余垃圾生化处理、污水循环利用、填埋场整治等各产业园区资源，充分发挥其生活垃圾资源化处理、科教研发、环保文化教育展示等功能，努力建设低能耗、低排放、高效能的循环经济产业园，打造</w:t>
      </w:r>
      <w:r>
        <w:rPr>
          <w:rFonts w:ascii="宋体" w:eastAsia="宋体" w:hAnsi="宋体" w:hint="eastAsia"/>
          <w:sz w:val="32"/>
          <w:szCs w:val="32"/>
        </w:rPr>
        <w:t>3</w:t>
      </w:r>
      <w:r>
        <w:rPr>
          <w:rFonts w:ascii="宋体" w:eastAsia="宋体" w:hAnsi="宋体"/>
          <w:sz w:val="32"/>
          <w:szCs w:val="32"/>
        </w:rPr>
        <w:t>A</w:t>
      </w:r>
      <w:r>
        <w:rPr>
          <w:rFonts w:ascii="宋体" w:eastAsia="宋体" w:hAnsi="宋体" w:hint="eastAsia"/>
          <w:sz w:val="32"/>
          <w:szCs w:val="32"/>
        </w:rPr>
        <w:t>级以上的工业旅游景区，实现产业园向更高水平跨越发展。</w:t>
      </w:r>
    </w:p>
    <w:p w:rsidR="00A73074" w:rsidRDefault="00CF0EBA">
      <w:pPr>
        <w:pStyle w:val="2"/>
        <w:rPr>
          <w:rFonts w:ascii="宋体" w:eastAsia="宋体" w:hAnsi="宋体"/>
        </w:rPr>
      </w:pPr>
      <w:bookmarkStart w:id="18" w:name="_Toc97711972"/>
      <w:r>
        <w:rPr>
          <w:rFonts w:ascii="宋体" w:eastAsia="宋体" w:hAnsi="宋体" w:hint="eastAsia"/>
        </w:rPr>
        <w:t>（二）生活垃圾处理设施</w:t>
      </w:r>
      <w:bookmarkEnd w:id="16"/>
      <w:bookmarkEnd w:id="17"/>
      <w:bookmarkEnd w:id="18"/>
    </w:p>
    <w:p w:rsidR="00A73074" w:rsidRDefault="00CF0EBA">
      <w:pPr>
        <w:tabs>
          <w:tab w:val="left" w:pos="709"/>
          <w:tab w:val="left" w:pos="2977"/>
        </w:tabs>
        <w:spacing w:line="360" w:lineRule="auto"/>
        <w:ind w:firstLineChars="200" w:firstLine="640"/>
        <w:rPr>
          <w:rFonts w:ascii="宋体" w:eastAsia="宋体" w:hAnsi="宋体"/>
          <w:sz w:val="32"/>
          <w:szCs w:val="32"/>
        </w:rPr>
      </w:pPr>
      <w:r>
        <w:rPr>
          <w:rFonts w:ascii="宋体" w:eastAsia="宋体" w:hAnsi="宋体" w:hint="eastAsia"/>
          <w:sz w:val="32"/>
          <w:szCs w:val="32"/>
        </w:rPr>
        <w:t>提升生活垃圾处理设施建设和管理水平，完善全流程科学管理体系，计划至“十四五”期末生活垃圾无害化处理率</w:t>
      </w:r>
      <w:r>
        <w:rPr>
          <w:rFonts w:ascii="宋体" w:eastAsia="宋体" w:hAnsi="宋体" w:hint="eastAsia"/>
          <w:sz w:val="32"/>
          <w:szCs w:val="32"/>
        </w:rPr>
        <w:t>保持</w:t>
      </w:r>
      <w:r>
        <w:rPr>
          <w:rFonts w:ascii="宋体" w:eastAsia="宋体" w:hAnsi="宋体"/>
          <w:sz w:val="32"/>
          <w:szCs w:val="32"/>
        </w:rPr>
        <w:t>100%</w:t>
      </w:r>
      <w:r>
        <w:rPr>
          <w:rFonts w:ascii="宋体" w:eastAsia="宋体" w:hAnsi="宋体" w:hint="eastAsia"/>
          <w:sz w:val="32"/>
          <w:szCs w:val="32"/>
        </w:rPr>
        <w:t>，原生生活垃圾填埋率为</w:t>
      </w:r>
      <w:r>
        <w:rPr>
          <w:rFonts w:ascii="宋体" w:eastAsia="宋体" w:hAnsi="宋体" w:hint="eastAsia"/>
          <w:sz w:val="32"/>
          <w:szCs w:val="32"/>
        </w:rPr>
        <w:t>0</w:t>
      </w:r>
      <w:r>
        <w:rPr>
          <w:rFonts w:ascii="宋体" w:eastAsia="宋体" w:hAnsi="宋体"/>
          <w:sz w:val="32"/>
          <w:szCs w:val="32"/>
        </w:rPr>
        <w:t>%</w:t>
      </w:r>
      <w:r>
        <w:rPr>
          <w:rFonts w:ascii="宋体" w:eastAsia="宋体" w:hAnsi="宋体" w:hint="eastAsia"/>
          <w:sz w:val="32"/>
          <w:szCs w:val="32"/>
        </w:rPr>
        <w:t>。</w:t>
      </w:r>
    </w:p>
    <w:p w:rsidR="00A73074" w:rsidRDefault="00CF0EBA">
      <w:pPr>
        <w:pStyle w:val="3"/>
        <w:numPr>
          <w:ilvl w:val="0"/>
          <w:numId w:val="1"/>
        </w:numPr>
        <w:rPr>
          <w:rFonts w:ascii="宋体" w:hAnsi="宋体"/>
          <w:sz w:val="32"/>
        </w:rPr>
      </w:pPr>
      <w:r>
        <w:rPr>
          <w:rFonts w:ascii="宋体" w:hAnsi="宋体"/>
          <w:sz w:val="32"/>
        </w:rPr>
        <w:t>资源热力电厂</w:t>
      </w:r>
    </w:p>
    <w:p w:rsidR="00A73074" w:rsidRDefault="00CF0EBA">
      <w:pPr>
        <w:tabs>
          <w:tab w:val="left" w:pos="709"/>
          <w:tab w:val="left" w:pos="2977"/>
        </w:tabs>
        <w:spacing w:line="360" w:lineRule="auto"/>
        <w:ind w:firstLineChars="200" w:firstLine="640"/>
        <w:rPr>
          <w:rFonts w:ascii="宋体" w:eastAsia="宋体" w:hAnsi="宋体"/>
          <w:sz w:val="32"/>
          <w:szCs w:val="32"/>
        </w:rPr>
      </w:pPr>
      <w:r>
        <w:rPr>
          <w:rFonts w:ascii="宋体" w:eastAsia="宋体" w:hAnsi="宋体" w:hint="eastAsia"/>
          <w:sz w:val="32"/>
          <w:szCs w:val="32"/>
        </w:rPr>
        <w:t>截至</w:t>
      </w:r>
      <w:r>
        <w:rPr>
          <w:rFonts w:ascii="宋体" w:eastAsia="宋体" w:hAnsi="宋体" w:hint="eastAsia"/>
          <w:sz w:val="32"/>
          <w:szCs w:val="32"/>
        </w:rPr>
        <w:t>2</w:t>
      </w:r>
      <w:r>
        <w:rPr>
          <w:rFonts w:ascii="宋体" w:eastAsia="宋体" w:hAnsi="宋体"/>
          <w:sz w:val="32"/>
          <w:szCs w:val="32"/>
        </w:rPr>
        <w:t>020</w:t>
      </w:r>
      <w:r>
        <w:rPr>
          <w:rFonts w:ascii="宋体" w:eastAsia="宋体" w:hAnsi="宋体"/>
          <w:sz w:val="32"/>
          <w:szCs w:val="32"/>
        </w:rPr>
        <w:t>年</w:t>
      </w:r>
      <w:r>
        <w:rPr>
          <w:rFonts w:ascii="宋体" w:eastAsia="宋体" w:hAnsi="宋体" w:hint="eastAsia"/>
          <w:sz w:val="32"/>
          <w:szCs w:val="32"/>
        </w:rPr>
        <w:t>底，全市</w:t>
      </w:r>
      <w:r>
        <w:rPr>
          <w:rFonts w:ascii="宋体" w:eastAsia="宋体" w:hAnsi="宋体"/>
          <w:sz w:val="32"/>
          <w:szCs w:val="32"/>
        </w:rPr>
        <w:t>已投产</w:t>
      </w:r>
      <w:r>
        <w:rPr>
          <w:rFonts w:ascii="宋体" w:eastAsia="宋体" w:hAnsi="宋体" w:hint="eastAsia"/>
          <w:sz w:val="32"/>
          <w:szCs w:val="32"/>
        </w:rPr>
        <w:t>运营</w:t>
      </w:r>
      <w:r>
        <w:rPr>
          <w:rFonts w:ascii="宋体" w:eastAsia="宋体" w:hAnsi="宋体"/>
          <w:sz w:val="32"/>
          <w:szCs w:val="32"/>
        </w:rPr>
        <w:t>的</w:t>
      </w:r>
      <w:r>
        <w:rPr>
          <w:rFonts w:ascii="宋体" w:eastAsia="宋体" w:hAnsi="宋体" w:hint="eastAsia"/>
          <w:sz w:val="32"/>
          <w:szCs w:val="32"/>
        </w:rPr>
        <w:t>资源热力电厂共</w:t>
      </w:r>
      <w:r>
        <w:rPr>
          <w:rFonts w:ascii="宋体" w:eastAsia="宋体" w:hAnsi="宋体"/>
          <w:sz w:val="32"/>
          <w:szCs w:val="32"/>
        </w:rPr>
        <w:t>7</w:t>
      </w:r>
      <w:r>
        <w:rPr>
          <w:rFonts w:ascii="宋体" w:eastAsia="宋体" w:hAnsi="宋体" w:hint="eastAsia"/>
          <w:sz w:val="32"/>
          <w:szCs w:val="32"/>
        </w:rPr>
        <w:t>座，分别是：第一资源热力电厂一分厂、二分厂，第三、四、</w:t>
      </w:r>
      <w:r>
        <w:rPr>
          <w:rFonts w:ascii="宋体" w:eastAsia="宋体" w:hAnsi="宋体" w:hint="eastAsia"/>
          <w:sz w:val="32"/>
          <w:szCs w:val="32"/>
        </w:rPr>
        <w:lastRenderedPageBreak/>
        <w:t>五、六、七资源热力电厂，处理能力合计</w:t>
      </w:r>
      <w:r>
        <w:rPr>
          <w:rFonts w:ascii="宋体" w:eastAsia="宋体" w:hAnsi="宋体"/>
          <w:sz w:val="32"/>
          <w:szCs w:val="32"/>
        </w:rPr>
        <w:t>14000</w:t>
      </w:r>
      <w:r>
        <w:rPr>
          <w:rFonts w:ascii="宋体" w:eastAsia="宋体" w:hAnsi="宋体" w:hint="eastAsia"/>
          <w:sz w:val="32"/>
          <w:szCs w:val="32"/>
        </w:rPr>
        <w:t>吨</w:t>
      </w:r>
      <w:r>
        <w:rPr>
          <w:rFonts w:ascii="宋体" w:eastAsia="宋体" w:hAnsi="宋体" w:hint="eastAsia"/>
          <w:sz w:val="32"/>
          <w:szCs w:val="32"/>
        </w:rPr>
        <w:t>/</w:t>
      </w:r>
      <w:r>
        <w:rPr>
          <w:rFonts w:ascii="宋体" w:eastAsia="宋体" w:hAnsi="宋体" w:hint="eastAsia"/>
          <w:sz w:val="32"/>
          <w:szCs w:val="32"/>
        </w:rPr>
        <w:t>日；</w:t>
      </w:r>
      <w:r>
        <w:rPr>
          <w:rFonts w:ascii="宋体" w:eastAsia="宋体" w:hAnsi="宋体"/>
          <w:sz w:val="32"/>
          <w:szCs w:val="32"/>
        </w:rPr>
        <w:t>在现状资源热力电厂基础上，</w:t>
      </w:r>
      <w:r>
        <w:rPr>
          <w:rFonts w:ascii="宋体" w:eastAsia="宋体" w:hAnsi="宋体" w:hint="eastAsia"/>
          <w:sz w:val="32"/>
          <w:szCs w:val="32"/>
        </w:rPr>
        <w:t>完成</w:t>
      </w:r>
      <w:r>
        <w:rPr>
          <w:rFonts w:ascii="宋体" w:eastAsia="宋体" w:hAnsi="宋体"/>
          <w:sz w:val="32"/>
          <w:szCs w:val="32"/>
        </w:rPr>
        <w:t>资源热力电厂</w:t>
      </w:r>
      <w:r>
        <w:rPr>
          <w:rFonts w:ascii="宋体" w:eastAsia="宋体" w:hAnsi="宋体" w:hint="eastAsia"/>
          <w:sz w:val="32"/>
          <w:szCs w:val="32"/>
        </w:rPr>
        <w:t>二期</w:t>
      </w:r>
      <w:r>
        <w:rPr>
          <w:rFonts w:ascii="宋体" w:eastAsia="宋体" w:hAnsi="宋体"/>
          <w:sz w:val="32"/>
          <w:szCs w:val="32"/>
        </w:rPr>
        <w:t>在建项目建设，处理能力合计达</w:t>
      </w:r>
      <w:r>
        <w:rPr>
          <w:rFonts w:ascii="宋体" w:eastAsia="宋体" w:hAnsi="宋体"/>
          <w:sz w:val="32"/>
          <w:szCs w:val="32"/>
        </w:rPr>
        <w:t>30000</w:t>
      </w:r>
      <w:r>
        <w:rPr>
          <w:rFonts w:ascii="宋体" w:eastAsia="宋体" w:hAnsi="宋体"/>
          <w:sz w:val="32"/>
          <w:szCs w:val="32"/>
        </w:rPr>
        <w:t>吨</w:t>
      </w:r>
      <w:r>
        <w:rPr>
          <w:rFonts w:ascii="宋体" w:eastAsia="宋体" w:hAnsi="宋体" w:hint="eastAsia"/>
          <w:sz w:val="32"/>
          <w:szCs w:val="32"/>
        </w:rPr>
        <w:t>/</w:t>
      </w:r>
      <w:r>
        <w:rPr>
          <w:rFonts w:ascii="宋体" w:eastAsia="宋体" w:hAnsi="宋体" w:hint="eastAsia"/>
          <w:sz w:val="32"/>
          <w:szCs w:val="32"/>
        </w:rPr>
        <w:t>日，满足未来城市高质量发展需要。</w:t>
      </w:r>
    </w:p>
    <w:p w:rsidR="00A73074" w:rsidRDefault="00CF0EBA">
      <w:pPr>
        <w:pStyle w:val="3"/>
        <w:numPr>
          <w:ilvl w:val="0"/>
          <w:numId w:val="1"/>
        </w:numPr>
        <w:rPr>
          <w:rFonts w:ascii="宋体" w:hAnsi="宋体"/>
          <w:sz w:val="32"/>
        </w:rPr>
      </w:pPr>
      <w:r>
        <w:rPr>
          <w:rFonts w:ascii="宋体" w:hAnsi="宋体" w:hint="eastAsia"/>
          <w:sz w:val="32"/>
        </w:rPr>
        <w:t>厨余垃圾处理设施</w:t>
      </w:r>
      <w:bookmarkStart w:id="19" w:name="_Toc439230920"/>
      <w:bookmarkStart w:id="20" w:name="_Toc450810069"/>
      <w:bookmarkStart w:id="21" w:name="_Toc439230828"/>
      <w:bookmarkStart w:id="22" w:name="_Toc439229160"/>
    </w:p>
    <w:p w:rsidR="00A73074" w:rsidRDefault="00CF0EBA">
      <w:pPr>
        <w:tabs>
          <w:tab w:val="left" w:pos="709"/>
          <w:tab w:val="left" w:pos="2977"/>
        </w:tabs>
        <w:spacing w:line="360" w:lineRule="auto"/>
        <w:ind w:firstLineChars="200" w:firstLine="640"/>
        <w:rPr>
          <w:rFonts w:ascii="宋体" w:eastAsia="宋体" w:hAnsi="宋体"/>
          <w:sz w:val="32"/>
          <w:szCs w:val="32"/>
        </w:rPr>
      </w:pPr>
      <w:r>
        <w:rPr>
          <w:rFonts w:ascii="宋体" w:eastAsia="宋体" w:hAnsi="宋体" w:hint="eastAsia"/>
          <w:sz w:val="32"/>
          <w:szCs w:val="32"/>
        </w:rPr>
        <w:t>截至</w:t>
      </w:r>
      <w:r>
        <w:rPr>
          <w:rFonts w:ascii="宋体" w:eastAsia="宋体" w:hAnsi="宋体" w:hint="eastAsia"/>
          <w:sz w:val="32"/>
          <w:szCs w:val="32"/>
        </w:rPr>
        <w:t>2</w:t>
      </w:r>
      <w:r>
        <w:rPr>
          <w:rFonts w:ascii="宋体" w:eastAsia="宋体" w:hAnsi="宋体"/>
          <w:sz w:val="32"/>
          <w:szCs w:val="32"/>
        </w:rPr>
        <w:t>020</w:t>
      </w:r>
      <w:r>
        <w:rPr>
          <w:rFonts w:ascii="宋体" w:eastAsia="宋体" w:hAnsi="宋体"/>
          <w:sz w:val="32"/>
          <w:szCs w:val="32"/>
        </w:rPr>
        <w:t>年</w:t>
      </w:r>
      <w:r>
        <w:rPr>
          <w:rFonts w:ascii="宋体" w:eastAsia="宋体" w:hAnsi="宋体" w:hint="eastAsia"/>
          <w:sz w:val="32"/>
          <w:szCs w:val="32"/>
        </w:rPr>
        <w:t>底，全市</w:t>
      </w:r>
      <w:r>
        <w:rPr>
          <w:rFonts w:ascii="宋体" w:eastAsia="宋体" w:hAnsi="宋体"/>
          <w:sz w:val="32"/>
          <w:szCs w:val="32"/>
        </w:rPr>
        <w:t>已投产</w:t>
      </w:r>
      <w:r>
        <w:rPr>
          <w:rFonts w:ascii="宋体" w:eastAsia="宋体" w:hAnsi="宋体" w:hint="eastAsia"/>
          <w:sz w:val="32"/>
          <w:szCs w:val="32"/>
        </w:rPr>
        <w:t>运营</w:t>
      </w:r>
      <w:r>
        <w:rPr>
          <w:rFonts w:ascii="宋体" w:eastAsia="宋体" w:hAnsi="宋体"/>
          <w:sz w:val="32"/>
          <w:szCs w:val="32"/>
        </w:rPr>
        <w:t>的</w:t>
      </w:r>
      <w:r>
        <w:rPr>
          <w:rFonts w:ascii="宋体" w:eastAsia="宋体" w:hAnsi="宋体" w:hint="eastAsia"/>
          <w:sz w:val="32"/>
          <w:szCs w:val="32"/>
        </w:rPr>
        <w:t>厨余垃圾处理设施共</w:t>
      </w:r>
      <w:r>
        <w:rPr>
          <w:rFonts w:ascii="宋体" w:eastAsia="宋体" w:hAnsi="宋体" w:hint="eastAsia"/>
          <w:sz w:val="32"/>
          <w:szCs w:val="32"/>
        </w:rPr>
        <w:t>4</w:t>
      </w:r>
      <w:r>
        <w:rPr>
          <w:rFonts w:ascii="宋体" w:eastAsia="宋体" w:hAnsi="宋体" w:hint="eastAsia"/>
          <w:sz w:val="32"/>
          <w:szCs w:val="32"/>
        </w:rPr>
        <w:t>座，分别为李坑综合处理厂、福山生物质综合处理厂（一期）、增城生物质综合处理项目、广州市餐厨废弃物循环处理</w:t>
      </w:r>
      <w:r>
        <w:rPr>
          <w:rFonts w:ascii="宋体" w:eastAsia="宋体" w:hAnsi="宋体" w:hint="eastAsia"/>
          <w:sz w:val="32"/>
          <w:szCs w:val="32"/>
        </w:rPr>
        <w:t>试点项目，处理规模合计</w:t>
      </w:r>
      <w:r>
        <w:rPr>
          <w:rFonts w:ascii="宋体" w:eastAsia="宋体" w:hAnsi="宋体" w:hint="eastAsia"/>
          <w:sz w:val="32"/>
          <w:szCs w:val="32"/>
        </w:rPr>
        <w:t>2</w:t>
      </w:r>
      <w:r>
        <w:rPr>
          <w:rFonts w:ascii="宋体" w:eastAsia="宋体" w:hAnsi="宋体"/>
          <w:sz w:val="32"/>
          <w:szCs w:val="32"/>
        </w:rPr>
        <w:t>600</w:t>
      </w:r>
      <w:r>
        <w:rPr>
          <w:rFonts w:ascii="宋体" w:eastAsia="宋体" w:hAnsi="宋体"/>
          <w:sz w:val="32"/>
          <w:szCs w:val="32"/>
        </w:rPr>
        <w:t>吨</w:t>
      </w:r>
      <w:r>
        <w:rPr>
          <w:rFonts w:ascii="宋体" w:eastAsia="宋体" w:hAnsi="宋体" w:hint="eastAsia"/>
          <w:sz w:val="32"/>
          <w:szCs w:val="32"/>
        </w:rPr>
        <w:t>/</w:t>
      </w:r>
      <w:r>
        <w:rPr>
          <w:rFonts w:ascii="宋体" w:eastAsia="宋体" w:hAnsi="宋体" w:hint="eastAsia"/>
          <w:sz w:val="32"/>
          <w:szCs w:val="32"/>
        </w:rPr>
        <w:t>日。“十四五”期间建成福山生物质综合处理厂二期、花都、南沙、从化等生物质综合处理厂并投产，实现李坑综合处理厂等</w:t>
      </w:r>
      <w:r>
        <w:rPr>
          <w:rFonts w:ascii="宋体" w:eastAsia="宋体" w:hAnsi="宋体" w:hint="eastAsia"/>
          <w:sz w:val="32"/>
          <w:szCs w:val="32"/>
        </w:rPr>
        <w:t>9</w:t>
      </w:r>
      <w:r>
        <w:rPr>
          <w:rFonts w:ascii="宋体" w:eastAsia="宋体" w:hAnsi="宋体" w:hint="eastAsia"/>
          <w:sz w:val="32"/>
          <w:szCs w:val="32"/>
        </w:rPr>
        <w:t>座生物质综合处理厂高效运营，厨余垃圾集中处理能力合计达</w:t>
      </w:r>
      <w:r>
        <w:rPr>
          <w:rFonts w:ascii="宋体" w:eastAsia="宋体" w:hAnsi="宋体"/>
          <w:sz w:val="32"/>
          <w:szCs w:val="32"/>
        </w:rPr>
        <w:t>4700</w:t>
      </w:r>
      <w:r>
        <w:rPr>
          <w:rFonts w:ascii="宋体" w:eastAsia="宋体" w:hAnsi="宋体"/>
          <w:sz w:val="32"/>
          <w:szCs w:val="32"/>
        </w:rPr>
        <w:t>吨</w:t>
      </w:r>
      <w:r>
        <w:rPr>
          <w:rFonts w:ascii="宋体" w:eastAsia="宋体" w:hAnsi="宋体" w:hint="eastAsia"/>
          <w:sz w:val="32"/>
          <w:szCs w:val="32"/>
        </w:rPr>
        <w:t>/</w:t>
      </w:r>
      <w:r>
        <w:rPr>
          <w:rFonts w:ascii="宋体" w:eastAsia="宋体" w:hAnsi="宋体" w:hint="eastAsia"/>
          <w:sz w:val="32"/>
          <w:szCs w:val="32"/>
        </w:rPr>
        <w:t>日；</w:t>
      </w:r>
      <w:r>
        <w:rPr>
          <w:rFonts w:hint="eastAsia"/>
          <w:sz w:val="32"/>
          <w:szCs w:val="32"/>
        </w:rPr>
        <w:t>适时启动番禺区凌边生物质综合处理厂建设；</w:t>
      </w:r>
      <w:r>
        <w:rPr>
          <w:rFonts w:ascii="宋体" w:eastAsia="宋体" w:hAnsi="宋体" w:hint="eastAsia"/>
          <w:sz w:val="32"/>
          <w:szCs w:val="32"/>
        </w:rPr>
        <w:t>视情通过延长生产时长、增加生产线的方式，加大现有厨余垃圾处理设施的生产规模；</w:t>
      </w:r>
      <w:r>
        <w:rPr>
          <w:rFonts w:hint="eastAsia"/>
          <w:sz w:val="32"/>
          <w:szCs w:val="32"/>
        </w:rPr>
        <w:t>继续保持各区已建厨余垃圾小型分散处理设施，作为终端集中处理设施的补充；鼓励花都、从化、增城区结合本辖区农村人口占比较大、居住分散等特点，采用就地沤肥、与垃圾转运站合建小型分散处理设</w:t>
      </w:r>
      <w:r>
        <w:rPr>
          <w:rFonts w:hint="eastAsia"/>
          <w:sz w:val="32"/>
          <w:szCs w:val="32"/>
        </w:rPr>
        <w:t>施的方式，就近就便处理厨余垃圾，减轻终端处理设施的处理压力；</w:t>
      </w:r>
      <w:r>
        <w:rPr>
          <w:rFonts w:ascii="宋体" w:eastAsia="宋体" w:hAnsi="宋体" w:hint="eastAsia"/>
          <w:sz w:val="32"/>
          <w:szCs w:val="32"/>
        </w:rPr>
        <w:t>加大前端分</w:t>
      </w:r>
      <w:r>
        <w:rPr>
          <w:rFonts w:ascii="宋体" w:eastAsia="宋体" w:hAnsi="宋体" w:hint="eastAsia"/>
          <w:sz w:val="32"/>
          <w:szCs w:val="32"/>
        </w:rPr>
        <w:lastRenderedPageBreak/>
        <w:t>类工作力度，督促农贸市场安装机械脱水设备，减少进入终端处理量。</w:t>
      </w:r>
    </w:p>
    <w:p w:rsidR="00A73074" w:rsidRDefault="00CF0EBA">
      <w:pPr>
        <w:pStyle w:val="3"/>
        <w:numPr>
          <w:ilvl w:val="0"/>
          <w:numId w:val="1"/>
        </w:numPr>
        <w:rPr>
          <w:rFonts w:ascii="宋体" w:hAnsi="宋体"/>
          <w:sz w:val="32"/>
        </w:rPr>
      </w:pPr>
      <w:bookmarkStart w:id="23" w:name="_Toc439229168"/>
      <w:bookmarkStart w:id="24" w:name="_Toc439230836"/>
      <w:r>
        <w:rPr>
          <w:rFonts w:ascii="宋体" w:hAnsi="宋体" w:hint="eastAsia"/>
          <w:sz w:val="32"/>
        </w:rPr>
        <w:t>生活</w:t>
      </w:r>
      <w:r>
        <w:rPr>
          <w:rFonts w:ascii="宋体" w:hAnsi="宋体"/>
          <w:sz w:val="32"/>
        </w:rPr>
        <w:t>垃圾</w:t>
      </w:r>
      <w:r>
        <w:rPr>
          <w:rFonts w:ascii="宋体" w:hAnsi="宋体" w:hint="eastAsia"/>
          <w:sz w:val="32"/>
        </w:rPr>
        <w:t>填埋场</w:t>
      </w:r>
    </w:p>
    <w:p w:rsidR="00A73074" w:rsidRDefault="00CF0EBA">
      <w:pPr>
        <w:tabs>
          <w:tab w:val="left" w:pos="709"/>
          <w:tab w:val="left" w:pos="2977"/>
        </w:tabs>
        <w:spacing w:line="360" w:lineRule="auto"/>
        <w:ind w:firstLineChars="200" w:firstLine="640"/>
        <w:rPr>
          <w:rFonts w:ascii="宋体" w:eastAsia="宋体" w:hAnsi="宋体"/>
          <w:sz w:val="24"/>
          <w:szCs w:val="32"/>
        </w:rPr>
      </w:pPr>
      <w:r>
        <w:rPr>
          <w:rFonts w:ascii="宋体" w:eastAsia="宋体" w:hAnsi="宋体" w:hint="eastAsia"/>
          <w:sz w:val="32"/>
          <w:szCs w:val="32"/>
        </w:rPr>
        <w:t>截至</w:t>
      </w:r>
      <w:r>
        <w:rPr>
          <w:rFonts w:ascii="宋体" w:eastAsia="宋体" w:hAnsi="宋体" w:hint="eastAsia"/>
          <w:sz w:val="32"/>
          <w:szCs w:val="32"/>
        </w:rPr>
        <w:t>2</w:t>
      </w:r>
      <w:r>
        <w:rPr>
          <w:rFonts w:ascii="宋体" w:eastAsia="宋体" w:hAnsi="宋体"/>
          <w:sz w:val="32"/>
          <w:szCs w:val="32"/>
        </w:rPr>
        <w:t>020</w:t>
      </w:r>
      <w:r>
        <w:rPr>
          <w:rFonts w:ascii="宋体" w:eastAsia="宋体" w:hAnsi="宋体"/>
          <w:sz w:val="32"/>
          <w:szCs w:val="32"/>
        </w:rPr>
        <w:t>年</w:t>
      </w:r>
      <w:r>
        <w:rPr>
          <w:rFonts w:ascii="宋体" w:eastAsia="宋体" w:hAnsi="宋体" w:hint="eastAsia"/>
          <w:sz w:val="32"/>
          <w:szCs w:val="32"/>
        </w:rPr>
        <w:t>底，全市建成</w:t>
      </w:r>
      <w:r>
        <w:rPr>
          <w:rFonts w:ascii="宋体" w:eastAsia="宋体" w:hAnsi="宋体"/>
          <w:sz w:val="32"/>
          <w:szCs w:val="32"/>
        </w:rPr>
        <w:t>在运营的生活垃圾填埋场共</w:t>
      </w:r>
      <w:r>
        <w:rPr>
          <w:rFonts w:ascii="宋体" w:eastAsia="宋体" w:hAnsi="宋体" w:hint="eastAsia"/>
          <w:sz w:val="32"/>
          <w:szCs w:val="32"/>
        </w:rPr>
        <w:t>5</w:t>
      </w:r>
      <w:r>
        <w:rPr>
          <w:rFonts w:ascii="宋体" w:eastAsia="宋体" w:hAnsi="宋体" w:hint="eastAsia"/>
          <w:sz w:val="32"/>
          <w:szCs w:val="32"/>
        </w:rPr>
        <w:t>座，分别为兴丰生活垃圾卫生填埋场、广州市兴丰应急填埋场、花都区生活垃圾卫生填埋场、增城区生活垃圾卫生填埋场、从化区城市废弃物综合处理场。“十四五”期间，探索老旧填埋场治理新路子，对库容已满的填埋设施有序开展封场治理；</w:t>
      </w:r>
      <w:r>
        <w:rPr>
          <w:rFonts w:ascii="宋体" w:eastAsia="宋体" w:hAnsi="宋体"/>
          <w:sz w:val="32"/>
          <w:szCs w:val="32"/>
        </w:rPr>
        <w:t>对</w:t>
      </w:r>
      <w:r>
        <w:rPr>
          <w:rFonts w:ascii="宋体" w:eastAsia="宋体" w:hAnsi="宋体" w:hint="eastAsia"/>
          <w:sz w:val="32"/>
          <w:szCs w:val="32"/>
        </w:rPr>
        <w:t>实现</w:t>
      </w:r>
      <w:r>
        <w:rPr>
          <w:rFonts w:ascii="宋体" w:eastAsia="宋体" w:hAnsi="宋体" w:hint="eastAsia"/>
          <w:sz w:val="32"/>
          <w:szCs w:val="32"/>
        </w:rPr>
        <w:t>原生生活</w:t>
      </w:r>
      <w:r>
        <w:rPr>
          <w:rFonts w:ascii="宋体" w:eastAsia="宋体" w:hAnsi="宋体" w:hint="eastAsia"/>
          <w:sz w:val="32"/>
          <w:szCs w:val="32"/>
        </w:rPr>
        <w:t>垃圾“零填埋”后的剩余</w:t>
      </w:r>
      <w:r>
        <w:rPr>
          <w:rFonts w:ascii="宋体" w:eastAsia="宋体" w:hAnsi="宋体"/>
          <w:sz w:val="32"/>
          <w:szCs w:val="32"/>
        </w:rPr>
        <w:t>填埋</w:t>
      </w:r>
      <w:r>
        <w:rPr>
          <w:rFonts w:ascii="宋体" w:eastAsia="宋体" w:hAnsi="宋体" w:hint="eastAsia"/>
          <w:sz w:val="32"/>
          <w:szCs w:val="32"/>
        </w:rPr>
        <w:t>库容转为战略应急</w:t>
      </w:r>
      <w:r>
        <w:rPr>
          <w:rFonts w:ascii="宋体" w:eastAsia="宋体" w:hAnsi="宋体"/>
          <w:sz w:val="32"/>
          <w:szCs w:val="32"/>
        </w:rPr>
        <w:t>设施，</w:t>
      </w:r>
      <w:r>
        <w:rPr>
          <w:rFonts w:ascii="宋体" w:eastAsia="宋体" w:hAnsi="宋体" w:hint="eastAsia"/>
          <w:sz w:val="32"/>
          <w:szCs w:val="32"/>
        </w:rPr>
        <w:t>同时</w:t>
      </w:r>
      <w:r>
        <w:rPr>
          <w:rFonts w:ascii="宋体" w:eastAsia="宋体" w:hAnsi="宋体"/>
          <w:sz w:val="32"/>
          <w:szCs w:val="32"/>
        </w:rPr>
        <w:t>根据填埋场环境管理目标，</w:t>
      </w:r>
      <w:r>
        <w:rPr>
          <w:rFonts w:ascii="宋体" w:eastAsia="宋体" w:hAnsi="宋体" w:hint="eastAsia"/>
          <w:sz w:val="32"/>
          <w:szCs w:val="32"/>
        </w:rPr>
        <w:t>加强对</w:t>
      </w:r>
      <w:r>
        <w:rPr>
          <w:rFonts w:ascii="宋体" w:eastAsia="宋体" w:hAnsi="宋体"/>
          <w:sz w:val="32"/>
          <w:szCs w:val="32"/>
        </w:rPr>
        <w:t>既有填埋设施</w:t>
      </w:r>
      <w:r>
        <w:rPr>
          <w:rFonts w:ascii="宋体" w:eastAsia="宋体" w:hAnsi="宋体" w:hint="eastAsia"/>
          <w:sz w:val="32"/>
          <w:szCs w:val="32"/>
        </w:rPr>
        <w:t>的</w:t>
      </w:r>
      <w:r>
        <w:rPr>
          <w:rFonts w:ascii="宋体" w:eastAsia="宋体" w:hAnsi="宋体"/>
          <w:sz w:val="32"/>
          <w:szCs w:val="32"/>
        </w:rPr>
        <w:t>环境整治。</w:t>
      </w:r>
    </w:p>
    <w:p w:rsidR="00A73074" w:rsidRDefault="00CF0EBA">
      <w:pPr>
        <w:pStyle w:val="3"/>
        <w:numPr>
          <w:ilvl w:val="0"/>
          <w:numId w:val="1"/>
        </w:numPr>
        <w:rPr>
          <w:rFonts w:ascii="宋体" w:hAnsi="宋体"/>
          <w:sz w:val="32"/>
        </w:rPr>
      </w:pPr>
      <w:r>
        <w:rPr>
          <w:rFonts w:ascii="宋体" w:hAnsi="宋体" w:hint="eastAsia"/>
          <w:sz w:val="32"/>
        </w:rPr>
        <w:t>动物尸骸及废弃肉制品、粪便无害化处理设施</w:t>
      </w:r>
    </w:p>
    <w:p w:rsidR="00A73074" w:rsidRDefault="00CF0EBA">
      <w:pPr>
        <w:tabs>
          <w:tab w:val="left" w:pos="709"/>
          <w:tab w:val="left" w:pos="2977"/>
        </w:tabs>
        <w:spacing w:line="360" w:lineRule="auto"/>
        <w:ind w:firstLineChars="200" w:firstLine="640"/>
        <w:rPr>
          <w:rFonts w:ascii="宋体" w:eastAsia="宋体" w:hAnsi="宋体"/>
          <w:sz w:val="32"/>
          <w:szCs w:val="32"/>
        </w:rPr>
      </w:pPr>
      <w:r>
        <w:rPr>
          <w:rFonts w:ascii="宋体" w:eastAsia="宋体" w:hAnsi="宋体" w:hint="eastAsia"/>
          <w:sz w:val="32"/>
          <w:szCs w:val="32"/>
        </w:rPr>
        <w:t>结合循环经济产业园规划布局的资源热力电厂、生物质综合处理厂等，妥善做好</w:t>
      </w:r>
      <w:r>
        <w:rPr>
          <w:rFonts w:ascii="宋体" w:hAnsi="宋体" w:hint="eastAsia"/>
          <w:sz w:val="32"/>
        </w:rPr>
        <w:t>动物尸骸及废弃肉制品（俗称死禽畜）</w:t>
      </w:r>
      <w:r>
        <w:rPr>
          <w:rFonts w:ascii="宋体" w:eastAsia="宋体" w:hAnsi="宋体" w:hint="eastAsia"/>
          <w:sz w:val="32"/>
          <w:szCs w:val="32"/>
        </w:rPr>
        <w:t>、粪便的协同处置（处理能力分别达</w:t>
      </w:r>
      <w:r>
        <w:rPr>
          <w:rFonts w:ascii="宋体" w:eastAsia="宋体" w:hAnsi="宋体" w:hint="eastAsia"/>
          <w:sz w:val="32"/>
          <w:szCs w:val="32"/>
        </w:rPr>
        <w:t>105</w:t>
      </w:r>
      <w:r>
        <w:rPr>
          <w:rFonts w:ascii="宋体" w:eastAsia="宋体" w:hAnsi="宋体" w:hint="eastAsia"/>
          <w:sz w:val="32"/>
          <w:szCs w:val="32"/>
        </w:rPr>
        <w:t>吨</w:t>
      </w:r>
      <w:r>
        <w:rPr>
          <w:rFonts w:ascii="宋体" w:eastAsia="宋体" w:hAnsi="宋体" w:hint="eastAsia"/>
          <w:sz w:val="32"/>
          <w:szCs w:val="32"/>
        </w:rPr>
        <w:t>/</w:t>
      </w:r>
      <w:r>
        <w:rPr>
          <w:rFonts w:ascii="宋体" w:eastAsia="宋体" w:hAnsi="宋体" w:hint="eastAsia"/>
          <w:sz w:val="32"/>
          <w:szCs w:val="32"/>
        </w:rPr>
        <w:t>日和</w:t>
      </w:r>
      <w:r>
        <w:rPr>
          <w:rFonts w:ascii="宋体" w:eastAsia="宋体" w:hAnsi="宋体" w:hint="eastAsia"/>
          <w:sz w:val="32"/>
          <w:szCs w:val="32"/>
        </w:rPr>
        <w:t>1500</w:t>
      </w:r>
      <w:r>
        <w:rPr>
          <w:rFonts w:ascii="宋体" w:eastAsia="宋体" w:hAnsi="宋体" w:hint="eastAsia"/>
          <w:sz w:val="32"/>
          <w:szCs w:val="32"/>
        </w:rPr>
        <w:t>吨</w:t>
      </w:r>
      <w:r>
        <w:rPr>
          <w:rFonts w:ascii="宋体" w:eastAsia="宋体" w:hAnsi="宋体" w:hint="eastAsia"/>
          <w:sz w:val="32"/>
          <w:szCs w:val="32"/>
        </w:rPr>
        <w:t>/</w:t>
      </w:r>
      <w:r>
        <w:rPr>
          <w:rFonts w:ascii="宋体" w:eastAsia="宋体" w:hAnsi="宋体" w:hint="eastAsia"/>
          <w:sz w:val="32"/>
          <w:szCs w:val="32"/>
        </w:rPr>
        <w:t>日），例如产生的油脂可加工为资源化产品，沼气用作园区内发电，处理废渣进入焚烧发电厂焚烧，处理过程产生的污水进入渗滤液（污水）处理厂等，达到资源共享、设施</w:t>
      </w:r>
      <w:r>
        <w:rPr>
          <w:rFonts w:ascii="宋体" w:eastAsia="宋体" w:hAnsi="宋体" w:hint="eastAsia"/>
          <w:sz w:val="32"/>
          <w:szCs w:val="32"/>
        </w:rPr>
        <w:lastRenderedPageBreak/>
        <w:t>共建的集约化效果。</w:t>
      </w:r>
    </w:p>
    <w:p w:rsidR="00A73074" w:rsidRDefault="00CF0EBA">
      <w:pPr>
        <w:pStyle w:val="3"/>
        <w:numPr>
          <w:ilvl w:val="0"/>
          <w:numId w:val="1"/>
        </w:numPr>
        <w:rPr>
          <w:rFonts w:ascii="宋体" w:hAnsi="宋体"/>
          <w:bCs w:val="0"/>
          <w:sz w:val="32"/>
        </w:rPr>
      </w:pPr>
      <w:r>
        <w:rPr>
          <w:rFonts w:ascii="宋体" w:hAnsi="宋体" w:hint="eastAsia"/>
          <w:bCs w:val="0"/>
          <w:sz w:val="32"/>
        </w:rPr>
        <w:t>废弃油脂综合处理设施</w:t>
      </w:r>
    </w:p>
    <w:p w:rsidR="00A73074" w:rsidRDefault="00CF0EBA">
      <w:pPr>
        <w:tabs>
          <w:tab w:val="left" w:pos="709"/>
          <w:tab w:val="left" w:pos="2977"/>
        </w:tabs>
        <w:spacing w:line="360" w:lineRule="auto"/>
        <w:ind w:firstLineChars="200" w:firstLine="640"/>
        <w:rPr>
          <w:rFonts w:ascii="宋体" w:eastAsia="宋体" w:hAnsi="宋体"/>
          <w:sz w:val="32"/>
          <w:szCs w:val="32"/>
        </w:rPr>
      </w:pPr>
      <w:r>
        <w:rPr>
          <w:rFonts w:ascii="宋体" w:eastAsia="宋体" w:hAnsi="宋体" w:hint="eastAsia"/>
          <w:sz w:val="32"/>
          <w:szCs w:val="32"/>
        </w:rPr>
        <w:t>严格实施《</w:t>
      </w:r>
      <w:r>
        <w:rPr>
          <w:rFonts w:ascii="宋体" w:eastAsia="宋体" w:hAnsi="宋体"/>
          <w:sz w:val="32"/>
          <w:szCs w:val="32"/>
        </w:rPr>
        <w:t>广州市餐厨垃圾管理办法</w:t>
      </w:r>
      <w:r>
        <w:rPr>
          <w:rFonts w:ascii="宋体" w:eastAsia="宋体" w:hAnsi="宋体" w:hint="eastAsia"/>
          <w:sz w:val="32"/>
          <w:szCs w:val="32"/>
        </w:rPr>
        <w:t>》，进一步规范废弃油脂收运处置全流程管理。“十四五</w:t>
      </w:r>
      <w:r>
        <w:rPr>
          <w:rFonts w:ascii="宋体" w:eastAsia="宋体" w:hAnsi="宋体" w:hint="eastAsia"/>
          <w:sz w:val="32"/>
          <w:szCs w:val="32"/>
        </w:rPr>
        <w:t>”期间，进一步推动废弃油脂作为可再生资源的循环利用，在全市现有处置能力的基础上，依托</w:t>
      </w:r>
      <w:r w:rsidR="00A73074">
        <w:rPr>
          <w:rFonts w:ascii="宋体" w:eastAsia="宋体" w:hAnsi="宋体" w:hint="eastAsia"/>
          <w:sz w:val="32"/>
          <w:szCs w:val="32"/>
        </w:rPr>
        <w:t>已建成的</w:t>
      </w:r>
      <w:r>
        <w:rPr>
          <w:rFonts w:ascii="宋体" w:eastAsia="宋体" w:hAnsi="宋体" w:hint="eastAsia"/>
          <w:sz w:val="32"/>
          <w:szCs w:val="32"/>
        </w:rPr>
        <w:t>生物质综合处理厂视情增加废弃油脂综合处理设施扩大产能，确保废弃油脂应收尽收、全量处理。</w:t>
      </w:r>
    </w:p>
    <w:p w:rsidR="00A73074" w:rsidRDefault="00CF0EBA">
      <w:pPr>
        <w:pStyle w:val="2"/>
        <w:rPr>
          <w:rFonts w:ascii="宋体" w:eastAsia="宋体" w:hAnsi="宋体"/>
        </w:rPr>
      </w:pPr>
      <w:bookmarkStart w:id="25" w:name="_Toc97711973"/>
      <w:r>
        <w:rPr>
          <w:rFonts w:ascii="宋体" w:eastAsia="宋体" w:hAnsi="宋体" w:hint="eastAsia"/>
        </w:rPr>
        <w:t>（三）二次废弃物处理</w:t>
      </w:r>
      <w:bookmarkEnd w:id="25"/>
    </w:p>
    <w:p w:rsidR="00A73074" w:rsidRDefault="00CF0EBA">
      <w:pPr>
        <w:tabs>
          <w:tab w:val="left" w:pos="709"/>
          <w:tab w:val="left" w:pos="2977"/>
        </w:tabs>
        <w:spacing w:line="360" w:lineRule="auto"/>
        <w:ind w:firstLineChars="200" w:firstLine="640"/>
        <w:rPr>
          <w:rFonts w:ascii="宋体" w:eastAsia="宋体" w:hAnsi="宋体"/>
          <w:sz w:val="32"/>
          <w:szCs w:val="32"/>
        </w:rPr>
      </w:pPr>
      <w:r>
        <w:rPr>
          <w:rFonts w:ascii="宋体" w:eastAsia="宋体" w:hAnsi="宋体" w:hint="eastAsia"/>
          <w:sz w:val="32"/>
          <w:szCs w:val="32"/>
        </w:rPr>
        <w:t>二次废弃物主要包括焚烧处理产生的飞灰和炉渣、生物处理产生的沼渣等二次废弃物。</w:t>
      </w:r>
    </w:p>
    <w:p w:rsidR="00A73074" w:rsidRDefault="00CF0EBA">
      <w:pPr>
        <w:tabs>
          <w:tab w:val="left" w:pos="709"/>
          <w:tab w:val="left" w:pos="2977"/>
        </w:tabs>
        <w:spacing w:line="360" w:lineRule="auto"/>
        <w:ind w:firstLineChars="200" w:firstLine="640"/>
        <w:rPr>
          <w:rFonts w:ascii="宋体" w:eastAsia="宋体" w:hAnsi="宋体"/>
          <w:sz w:val="32"/>
          <w:szCs w:val="32"/>
        </w:rPr>
      </w:pPr>
      <w:bookmarkStart w:id="26" w:name="_Toc468195428"/>
      <w:bookmarkStart w:id="27" w:name="_Toc468183021"/>
      <w:bookmarkStart w:id="28" w:name="_Toc484713927"/>
      <w:r>
        <w:rPr>
          <w:rFonts w:ascii="宋体" w:eastAsia="宋体" w:hAnsi="宋体" w:hint="eastAsia"/>
          <w:sz w:val="32"/>
          <w:szCs w:val="32"/>
        </w:rPr>
        <w:t>1</w:t>
      </w:r>
      <w:bookmarkStart w:id="29" w:name="_Toc467829415"/>
      <w:bookmarkEnd w:id="26"/>
      <w:bookmarkEnd w:id="27"/>
      <w:bookmarkEnd w:id="28"/>
      <w:r>
        <w:rPr>
          <w:rFonts w:ascii="宋体" w:eastAsia="宋体" w:hAnsi="宋体" w:hint="eastAsia"/>
          <w:sz w:val="32"/>
          <w:szCs w:val="32"/>
        </w:rPr>
        <w:t>.</w:t>
      </w:r>
      <w:r>
        <w:rPr>
          <w:rFonts w:ascii="宋体" w:eastAsia="宋体" w:hAnsi="宋体" w:hint="eastAsia"/>
          <w:sz w:val="32"/>
          <w:szCs w:val="32"/>
        </w:rPr>
        <w:t>飞灰</w:t>
      </w:r>
    </w:p>
    <w:bookmarkEnd w:id="29"/>
    <w:p w:rsidR="00A73074" w:rsidRDefault="00CF0EBA">
      <w:pPr>
        <w:pStyle w:val="ad"/>
        <w:tabs>
          <w:tab w:val="left" w:pos="709"/>
          <w:tab w:val="left" w:pos="2977"/>
        </w:tabs>
        <w:spacing w:line="360" w:lineRule="auto"/>
        <w:ind w:left="640" w:firstLineChars="0" w:firstLine="0"/>
        <w:rPr>
          <w:rFonts w:ascii="宋体" w:eastAsia="宋体" w:hAnsi="宋体"/>
          <w:sz w:val="32"/>
          <w:szCs w:val="32"/>
        </w:rPr>
      </w:pPr>
      <w:r>
        <w:rPr>
          <w:rFonts w:ascii="宋体" w:eastAsia="宋体" w:hAnsi="宋体" w:hint="eastAsia"/>
          <w:sz w:val="32"/>
          <w:szCs w:val="32"/>
        </w:rPr>
        <w:t>（</w:t>
      </w:r>
      <w:r>
        <w:rPr>
          <w:rFonts w:ascii="宋体" w:eastAsia="宋体" w:hAnsi="宋体" w:hint="eastAsia"/>
          <w:sz w:val="32"/>
          <w:szCs w:val="32"/>
        </w:rPr>
        <w:t>1</w:t>
      </w:r>
      <w:r>
        <w:rPr>
          <w:rFonts w:ascii="宋体" w:eastAsia="宋体" w:hAnsi="宋体" w:hint="eastAsia"/>
          <w:sz w:val="32"/>
          <w:szCs w:val="32"/>
        </w:rPr>
        <w:t>）安全填埋</w:t>
      </w:r>
    </w:p>
    <w:p w:rsidR="00A73074" w:rsidRDefault="00CF0EBA">
      <w:pPr>
        <w:tabs>
          <w:tab w:val="left" w:pos="709"/>
          <w:tab w:val="left" w:pos="2977"/>
        </w:tabs>
        <w:spacing w:line="360" w:lineRule="auto"/>
        <w:ind w:firstLineChars="200" w:firstLine="640"/>
        <w:rPr>
          <w:rFonts w:ascii="宋体" w:eastAsia="宋体" w:hAnsi="宋体"/>
          <w:sz w:val="24"/>
          <w:szCs w:val="32"/>
        </w:rPr>
      </w:pPr>
      <w:r>
        <w:rPr>
          <w:rFonts w:ascii="宋体" w:eastAsia="宋体" w:hAnsi="宋体" w:cs="楷体" w:hint="eastAsia"/>
          <w:bCs/>
          <w:sz w:val="32"/>
          <w:szCs w:val="32"/>
        </w:rPr>
        <w:t xml:space="preserve"> </w:t>
      </w:r>
      <w:r>
        <w:rPr>
          <w:rFonts w:ascii="宋体" w:eastAsia="宋体" w:hAnsi="宋体" w:cs="楷体" w:hint="eastAsia"/>
          <w:bCs/>
          <w:sz w:val="32"/>
          <w:szCs w:val="32"/>
        </w:rPr>
        <w:t>“十四五”计划建设广州市兴丰应急填埋场第三填埋区、增城区棠厦垃圾填埋场环境综合整治工程二期、广州市山门固体废弃物处置中心等填埋场，新增库容</w:t>
      </w:r>
      <w:r>
        <w:rPr>
          <w:rFonts w:ascii="宋体" w:eastAsia="宋体" w:hAnsi="宋体" w:cs="楷体" w:hint="eastAsia"/>
          <w:bCs/>
          <w:sz w:val="32"/>
          <w:szCs w:val="32"/>
        </w:rPr>
        <w:t>不少于</w:t>
      </w:r>
      <w:r>
        <w:rPr>
          <w:rFonts w:ascii="宋体" w:eastAsia="宋体" w:hAnsi="宋体" w:cs="楷体" w:hint="eastAsia"/>
          <w:bCs/>
          <w:sz w:val="32"/>
          <w:szCs w:val="32"/>
        </w:rPr>
        <w:t>500</w:t>
      </w:r>
      <w:r>
        <w:rPr>
          <w:rFonts w:ascii="宋体" w:eastAsia="宋体" w:hAnsi="宋体" w:cs="楷体" w:hint="eastAsia"/>
          <w:bCs/>
          <w:sz w:val="32"/>
          <w:szCs w:val="32"/>
        </w:rPr>
        <w:t>万立方米，作为飞灰安全填埋场地。</w:t>
      </w:r>
    </w:p>
    <w:p w:rsidR="00A73074" w:rsidRDefault="00CF0EBA">
      <w:pPr>
        <w:pStyle w:val="ad"/>
        <w:tabs>
          <w:tab w:val="left" w:pos="709"/>
          <w:tab w:val="left" w:pos="2977"/>
        </w:tabs>
        <w:spacing w:line="360" w:lineRule="auto"/>
        <w:ind w:left="640" w:firstLineChars="0" w:firstLine="0"/>
        <w:rPr>
          <w:rFonts w:ascii="宋体" w:eastAsia="宋体" w:hAnsi="宋体"/>
          <w:sz w:val="32"/>
          <w:szCs w:val="32"/>
        </w:rPr>
      </w:pPr>
      <w:r>
        <w:rPr>
          <w:rFonts w:ascii="宋体" w:eastAsia="宋体" w:hAnsi="宋体" w:hint="eastAsia"/>
          <w:sz w:val="32"/>
          <w:szCs w:val="32"/>
        </w:rPr>
        <w:t>（</w:t>
      </w:r>
      <w:r>
        <w:rPr>
          <w:rFonts w:ascii="宋体" w:eastAsia="宋体" w:hAnsi="宋体" w:hint="eastAsia"/>
          <w:sz w:val="32"/>
          <w:szCs w:val="32"/>
        </w:rPr>
        <w:t>2</w:t>
      </w:r>
      <w:r>
        <w:rPr>
          <w:rFonts w:ascii="宋体" w:eastAsia="宋体" w:hAnsi="宋体" w:hint="eastAsia"/>
          <w:sz w:val="32"/>
          <w:szCs w:val="32"/>
        </w:rPr>
        <w:t>）资源化利用</w:t>
      </w:r>
    </w:p>
    <w:p w:rsidR="00A73074" w:rsidRDefault="00CF0EBA">
      <w:pPr>
        <w:tabs>
          <w:tab w:val="left" w:pos="709"/>
          <w:tab w:val="left" w:pos="2977"/>
        </w:tabs>
        <w:spacing w:line="360" w:lineRule="auto"/>
        <w:ind w:firstLineChars="200" w:firstLine="640"/>
        <w:rPr>
          <w:rFonts w:ascii="宋体" w:eastAsia="宋体" w:hAnsi="宋体"/>
          <w:sz w:val="32"/>
          <w:szCs w:val="32"/>
        </w:rPr>
      </w:pPr>
      <w:r>
        <w:rPr>
          <w:rFonts w:ascii="宋体" w:eastAsia="宋体" w:hAnsi="宋体" w:hint="eastAsia"/>
          <w:sz w:val="32"/>
          <w:szCs w:val="32"/>
        </w:rPr>
        <w:lastRenderedPageBreak/>
        <w:t>目前，飞灰无害化处理技术有固化</w:t>
      </w:r>
      <w:r>
        <w:rPr>
          <w:rFonts w:ascii="宋体" w:eastAsia="宋体" w:hAnsi="宋体" w:hint="eastAsia"/>
          <w:sz w:val="32"/>
          <w:szCs w:val="32"/>
        </w:rPr>
        <w:t>/</w:t>
      </w:r>
      <w:r>
        <w:rPr>
          <w:rFonts w:ascii="宋体" w:eastAsia="宋体" w:hAnsi="宋体" w:hint="eastAsia"/>
          <w:sz w:val="32"/>
          <w:szCs w:val="32"/>
        </w:rPr>
        <w:t>稳定化技术、高温固化及水热处理技术，资源化利用主要是用处理后的飞灰生产水泥、混凝土、沥青、陶瓷原料等。</w:t>
      </w:r>
      <w:r>
        <w:rPr>
          <w:rFonts w:ascii="宋体" w:eastAsia="宋体" w:hAnsi="宋体"/>
          <w:sz w:val="32"/>
          <w:szCs w:val="32"/>
        </w:rPr>
        <w:t>为满足</w:t>
      </w:r>
      <w:r>
        <w:rPr>
          <w:rFonts w:ascii="宋体" w:eastAsia="宋体" w:hAnsi="宋体" w:hint="eastAsia"/>
          <w:sz w:val="32"/>
          <w:szCs w:val="32"/>
        </w:rPr>
        <w:t>资源热力电厂二次废弃物处置需求，推进黄埔福山、南沙大岗循环经济产业园内建设</w:t>
      </w:r>
      <w:r>
        <w:rPr>
          <w:rFonts w:ascii="宋体" w:eastAsia="宋体" w:hAnsi="宋体" w:hint="eastAsia"/>
          <w:sz w:val="32"/>
          <w:szCs w:val="32"/>
        </w:rPr>
        <w:t>2</w:t>
      </w:r>
      <w:r>
        <w:rPr>
          <w:rFonts w:ascii="宋体" w:eastAsia="宋体" w:hAnsi="宋体" w:hint="eastAsia"/>
          <w:sz w:val="32"/>
          <w:szCs w:val="32"/>
        </w:rPr>
        <w:t>座飞灰资源化处置厂，总处理规模</w:t>
      </w:r>
      <w:r>
        <w:rPr>
          <w:rFonts w:ascii="宋体" w:eastAsia="宋体" w:hAnsi="宋体" w:hint="eastAsia"/>
          <w:sz w:val="32"/>
          <w:szCs w:val="32"/>
        </w:rPr>
        <w:t>800</w:t>
      </w:r>
      <w:r>
        <w:rPr>
          <w:rFonts w:ascii="宋体" w:eastAsia="宋体" w:hAnsi="宋体" w:hint="eastAsia"/>
          <w:sz w:val="32"/>
          <w:szCs w:val="32"/>
        </w:rPr>
        <w:t>吨</w:t>
      </w:r>
      <w:r>
        <w:rPr>
          <w:rFonts w:ascii="宋体" w:eastAsia="宋体" w:hAnsi="宋体" w:hint="eastAsia"/>
          <w:sz w:val="32"/>
          <w:szCs w:val="32"/>
        </w:rPr>
        <w:t>/</w:t>
      </w:r>
      <w:r>
        <w:rPr>
          <w:rFonts w:ascii="宋体" w:eastAsia="宋体" w:hAnsi="宋体" w:hint="eastAsia"/>
          <w:sz w:val="32"/>
          <w:szCs w:val="32"/>
        </w:rPr>
        <w:t>日。</w:t>
      </w:r>
    </w:p>
    <w:p w:rsidR="00A73074" w:rsidRDefault="00CF0EBA">
      <w:pPr>
        <w:tabs>
          <w:tab w:val="left" w:pos="709"/>
          <w:tab w:val="left" w:pos="2977"/>
        </w:tabs>
        <w:spacing w:line="360" w:lineRule="auto"/>
        <w:ind w:firstLineChars="200" w:firstLine="640"/>
        <w:rPr>
          <w:rFonts w:ascii="宋体" w:eastAsia="宋体" w:hAnsi="宋体"/>
          <w:sz w:val="32"/>
          <w:szCs w:val="32"/>
        </w:rPr>
      </w:pPr>
      <w:r>
        <w:rPr>
          <w:rFonts w:ascii="宋体" w:eastAsia="宋体" w:hAnsi="宋体" w:hint="eastAsia"/>
          <w:sz w:val="32"/>
          <w:szCs w:val="32"/>
        </w:rPr>
        <w:t>2.</w:t>
      </w:r>
      <w:r>
        <w:rPr>
          <w:rFonts w:ascii="宋体" w:eastAsia="宋体" w:hAnsi="宋体" w:hint="eastAsia"/>
          <w:sz w:val="32"/>
          <w:szCs w:val="32"/>
        </w:rPr>
        <w:t>炉渣</w:t>
      </w:r>
    </w:p>
    <w:p w:rsidR="00A73074" w:rsidRDefault="00CF0EBA">
      <w:pPr>
        <w:tabs>
          <w:tab w:val="left" w:pos="709"/>
          <w:tab w:val="left" w:pos="2977"/>
        </w:tabs>
        <w:spacing w:line="360" w:lineRule="auto"/>
        <w:ind w:firstLineChars="200" w:firstLine="640"/>
        <w:rPr>
          <w:rFonts w:ascii="宋体" w:eastAsia="宋体" w:hAnsi="宋体"/>
          <w:sz w:val="32"/>
          <w:szCs w:val="32"/>
        </w:rPr>
      </w:pPr>
      <w:r>
        <w:rPr>
          <w:rFonts w:ascii="宋体" w:eastAsia="宋体" w:hAnsi="宋体" w:hint="eastAsia"/>
          <w:sz w:val="32"/>
          <w:szCs w:val="32"/>
        </w:rPr>
        <w:t>焚烧炉渣是生活垃圾焚烧处理过程的伴生副产物，</w:t>
      </w:r>
      <w:r>
        <w:rPr>
          <w:rFonts w:ascii="宋体" w:eastAsia="宋体" w:hAnsi="宋体"/>
          <w:sz w:val="32"/>
          <w:szCs w:val="32"/>
        </w:rPr>
        <w:t>垃圾焚烧形成的炉渣，经高</w:t>
      </w:r>
      <w:r>
        <w:rPr>
          <w:rFonts w:ascii="宋体" w:eastAsia="宋体" w:hAnsi="宋体" w:hint="eastAsia"/>
          <w:sz w:val="32"/>
          <w:szCs w:val="32"/>
        </w:rPr>
        <w:t>温</w:t>
      </w:r>
      <w:r>
        <w:rPr>
          <w:rFonts w:ascii="宋体" w:eastAsia="宋体" w:hAnsi="宋体"/>
          <w:sz w:val="32"/>
          <w:szCs w:val="32"/>
        </w:rPr>
        <w:t>无害化处理</w:t>
      </w:r>
      <w:r>
        <w:rPr>
          <w:rFonts w:ascii="宋体" w:eastAsia="宋体" w:hAnsi="宋体" w:hint="eastAsia"/>
          <w:sz w:val="32"/>
          <w:szCs w:val="32"/>
        </w:rPr>
        <w:t>、</w:t>
      </w:r>
      <w:r>
        <w:rPr>
          <w:rFonts w:ascii="宋体" w:eastAsia="宋体" w:hAnsi="宋体"/>
          <w:sz w:val="32"/>
          <w:szCs w:val="32"/>
        </w:rPr>
        <w:t>磁选设备等，分离出废旧金属后，可作为修路的基础垫层、垃圾处理场覆盖层的材料和</w:t>
      </w:r>
      <w:r>
        <w:rPr>
          <w:rFonts w:ascii="宋体" w:eastAsia="宋体" w:hAnsi="宋体" w:hint="eastAsia"/>
          <w:sz w:val="32"/>
          <w:szCs w:val="32"/>
        </w:rPr>
        <w:t>制作</w:t>
      </w:r>
      <w:r>
        <w:rPr>
          <w:rFonts w:ascii="宋体" w:eastAsia="宋体" w:hAnsi="宋体"/>
          <w:sz w:val="32"/>
          <w:szCs w:val="32"/>
        </w:rPr>
        <w:t>免烧砖等。</w:t>
      </w:r>
      <w:r>
        <w:rPr>
          <w:rFonts w:ascii="宋体" w:eastAsia="宋体" w:hAnsi="宋体" w:hint="eastAsia"/>
          <w:sz w:val="32"/>
          <w:szCs w:val="32"/>
        </w:rPr>
        <w:t>5</w:t>
      </w:r>
      <w:r>
        <w:rPr>
          <w:rFonts w:ascii="宋体" w:eastAsia="宋体" w:hAnsi="宋体" w:hint="eastAsia"/>
          <w:sz w:val="32"/>
          <w:szCs w:val="32"/>
        </w:rPr>
        <w:t>座资源热力电厂二期项目分别配套建设炉渣处理厂，总处理规模</w:t>
      </w:r>
      <w:r>
        <w:rPr>
          <w:rFonts w:ascii="宋体" w:eastAsia="宋体" w:hAnsi="宋体" w:hint="eastAsia"/>
          <w:sz w:val="32"/>
          <w:szCs w:val="32"/>
        </w:rPr>
        <w:t>5200</w:t>
      </w:r>
      <w:r>
        <w:rPr>
          <w:rFonts w:ascii="宋体" w:eastAsia="宋体" w:hAnsi="宋体" w:hint="eastAsia"/>
          <w:sz w:val="32"/>
          <w:szCs w:val="32"/>
        </w:rPr>
        <w:t>吨</w:t>
      </w:r>
      <w:r>
        <w:rPr>
          <w:rFonts w:ascii="宋体" w:eastAsia="宋体" w:hAnsi="宋体" w:hint="eastAsia"/>
          <w:sz w:val="32"/>
          <w:szCs w:val="32"/>
        </w:rPr>
        <w:t>/</w:t>
      </w:r>
      <w:r>
        <w:rPr>
          <w:rFonts w:ascii="宋体" w:eastAsia="宋体" w:hAnsi="宋体" w:hint="eastAsia"/>
          <w:sz w:val="32"/>
          <w:szCs w:val="32"/>
        </w:rPr>
        <w:t>日，满足资源化利用需要。</w:t>
      </w:r>
    </w:p>
    <w:p w:rsidR="00A73074" w:rsidRDefault="00CF0EBA">
      <w:pPr>
        <w:tabs>
          <w:tab w:val="left" w:pos="709"/>
          <w:tab w:val="left" w:pos="2977"/>
        </w:tabs>
        <w:spacing w:line="360" w:lineRule="auto"/>
        <w:ind w:firstLineChars="200" w:firstLine="640"/>
        <w:rPr>
          <w:rFonts w:ascii="宋体" w:eastAsia="宋体" w:hAnsi="宋体"/>
          <w:sz w:val="32"/>
          <w:szCs w:val="32"/>
        </w:rPr>
      </w:pPr>
      <w:r>
        <w:rPr>
          <w:rFonts w:ascii="宋体" w:eastAsia="宋体" w:hAnsi="宋体"/>
          <w:sz w:val="32"/>
          <w:szCs w:val="32"/>
        </w:rPr>
        <w:t>3</w:t>
      </w:r>
      <w:r>
        <w:rPr>
          <w:rFonts w:ascii="宋体" w:eastAsia="宋体" w:hAnsi="宋体" w:hint="eastAsia"/>
          <w:sz w:val="32"/>
          <w:szCs w:val="32"/>
        </w:rPr>
        <w:t>.</w:t>
      </w:r>
      <w:r>
        <w:rPr>
          <w:rFonts w:ascii="宋体" w:eastAsia="宋体" w:hAnsi="宋体" w:hint="eastAsia"/>
          <w:sz w:val="32"/>
          <w:szCs w:val="32"/>
        </w:rPr>
        <w:t>沼渣</w:t>
      </w:r>
    </w:p>
    <w:p w:rsidR="00A73074" w:rsidRDefault="00CF0EBA">
      <w:pPr>
        <w:tabs>
          <w:tab w:val="left" w:pos="709"/>
          <w:tab w:val="left" w:pos="2977"/>
        </w:tabs>
        <w:spacing w:line="360" w:lineRule="auto"/>
        <w:ind w:firstLineChars="200" w:firstLine="640"/>
        <w:rPr>
          <w:rFonts w:ascii="宋体" w:eastAsia="宋体" w:hAnsi="宋体"/>
          <w:sz w:val="32"/>
          <w:szCs w:val="32"/>
        </w:rPr>
      </w:pPr>
      <w:r>
        <w:rPr>
          <w:rFonts w:ascii="宋体" w:eastAsia="宋体" w:hAnsi="宋体" w:hint="eastAsia"/>
          <w:sz w:val="32"/>
          <w:szCs w:val="32"/>
        </w:rPr>
        <w:t>生化处理产生的沼渣，由专用运输车收运至焚烧发电厂进行入炉焚烧发电。</w:t>
      </w:r>
    </w:p>
    <w:p w:rsidR="00A73074" w:rsidRDefault="00A73074">
      <w:pPr>
        <w:tabs>
          <w:tab w:val="left" w:pos="709"/>
          <w:tab w:val="left" w:pos="2977"/>
        </w:tabs>
        <w:spacing w:line="360" w:lineRule="auto"/>
        <w:ind w:firstLineChars="200" w:firstLine="640"/>
        <w:rPr>
          <w:rFonts w:ascii="宋体" w:eastAsia="宋体" w:hAnsi="宋体"/>
          <w:sz w:val="32"/>
          <w:szCs w:val="32"/>
        </w:rPr>
      </w:pPr>
    </w:p>
    <w:p w:rsidR="00A73074" w:rsidRDefault="00CF0EBA">
      <w:pPr>
        <w:pStyle w:val="2"/>
        <w:rPr>
          <w:rFonts w:ascii="宋体" w:eastAsia="宋体" w:hAnsi="宋体"/>
        </w:rPr>
      </w:pPr>
      <w:bookmarkStart w:id="30" w:name="_Toc97711974"/>
      <w:r>
        <w:rPr>
          <w:rFonts w:ascii="宋体" w:eastAsia="宋体" w:hAnsi="宋体" w:hint="eastAsia"/>
        </w:rPr>
        <w:t>（四）生活垃圾填埋场陈腐垃圾综合治理</w:t>
      </w:r>
      <w:bookmarkEnd w:id="30"/>
    </w:p>
    <w:p w:rsidR="00A73074" w:rsidRDefault="00CF0EBA">
      <w:pPr>
        <w:tabs>
          <w:tab w:val="left" w:pos="709"/>
          <w:tab w:val="left" w:pos="2977"/>
        </w:tabs>
        <w:spacing w:line="360" w:lineRule="auto"/>
        <w:ind w:firstLineChars="200" w:firstLine="640"/>
        <w:rPr>
          <w:rFonts w:ascii="宋体" w:eastAsia="宋体" w:hAnsi="宋体"/>
          <w:sz w:val="32"/>
          <w:szCs w:val="32"/>
        </w:rPr>
      </w:pPr>
      <w:r>
        <w:rPr>
          <w:rFonts w:ascii="宋体" w:eastAsia="宋体" w:hAnsi="宋体" w:hint="eastAsia"/>
          <w:sz w:val="32"/>
          <w:szCs w:val="32"/>
        </w:rPr>
        <w:t>结合“十四五”期间广州市</w:t>
      </w:r>
      <w:r>
        <w:rPr>
          <w:rFonts w:ascii="宋体" w:eastAsia="宋体" w:hAnsi="宋体" w:cs="楷体" w:hint="eastAsia"/>
          <w:bCs/>
          <w:sz w:val="32"/>
          <w:szCs w:val="32"/>
        </w:rPr>
        <w:t>垃圾焚烧处理能力，充分利用垃圾终端处理设施产能，</w:t>
      </w:r>
      <w:r>
        <w:rPr>
          <w:rFonts w:ascii="宋体" w:eastAsia="宋体" w:hAnsi="宋体" w:cs="楷体" w:hint="eastAsia"/>
          <w:bCs/>
          <w:sz w:val="32"/>
          <w:szCs w:val="32"/>
        </w:rPr>
        <w:t>研究</w:t>
      </w:r>
      <w:r>
        <w:rPr>
          <w:rFonts w:ascii="宋体" w:eastAsia="宋体" w:hAnsi="宋体" w:hint="eastAsia"/>
          <w:sz w:val="32"/>
          <w:szCs w:val="32"/>
        </w:rPr>
        <w:t>利用资源热力电厂富余焚烧</w:t>
      </w:r>
      <w:r>
        <w:rPr>
          <w:rFonts w:ascii="宋体" w:eastAsia="宋体" w:hAnsi="宋体" w:hint="eastAsia"/>
          <w:sz w:val="32"/>
          <w:szCs w:val="32"/>
        </w:rPr>
        <w:lastRenderedPageBreak/>
        <w:t>能力逐步掺烧陈腐垃圾，释放土地资源，腾退库容。</w:t>
      </w:r>
    </w:p>
    <w:p w:rsidR="00A73074" w:rsidRDefault="00CF0EBA">
      <w:pPr>
        <w:tabs>
          <w:tab w:val="left" w:pos="709"/>
          <w:tab w:val="left" w:pos="2977"/>
        </w:tabs>
        <w:spacing w:line="360" w:lineRule="auto"/>
        <w:ind w:firstLineChars="200" w:firstLine="640"/>
        <w:rPr>
          <w:rFonts w:ascii="宋体" w:eastAsia="宋体" w:hAnsi="宋体"/>
          <w:sz w:val="32"/>
          <w:szCs w:val="32"/>
        </w:rPr>
      </w:pPr>
      <w:r>
        <w:rPr>
          <w:rFonts w:ascii="宋体" w:eastAsia="宋体" w:hAnsi="宋体"/>
          <w:sz w:val="32"/>
          <w:szCs w:val="32"/>
        </w:rPr>
        <w:t>陈腐垃圾进入</w:t>
      </w:r>
      <w:r>
        <w:rPr>
          <w:rFonts w:ascii="宋体" w:eastAsia="宋体" w:hAnsi="宋体" w:hint="eastAsia"/>
          <w:sz w:val="32"/>
          <w:szCs w:val="32"/>
        </w:rPr>
        <w:t>热力</w:t>
      </w:r>
      <w:r>
        <w:rPr>
          <w:rFonts w:ascii="宋体" w:eastAsia="宋体" w:hAnsi="宋体"/>
          <w:sz w:val="32"/>
          <w:szCs w:val="32"/>
        </w:rPr>
        <w:t>电厂焚烧利用，释放的</w:t>
      </w:r>
      <w:r>
        <w:rPr>
          <w:rFonts w:ascii="宋体" w:eastAsia="宋体" w:hAnsi="宋体" w:hint="eastAsia"/>
          <w:sz w:val="32"/>
          <w:szCs w:val="32"/>
        </w:rPr>
        <w:t>库容</w:t>
      </w:r>
      <w:r>
        <w:rPr>
          <w:rFonts w:ascii="宋体" w:eastAsia="宋体" w:hAnsi="宋体"/>
          <w:sz w:val="32"/>
          <w:szCs w:val="32"/>
        </w:rPr>
        <w:t>可</w:t>
      </w:r>
      <w:r>
        <w:rPr>
          <w:rFonts w:ascii="宋体" w:eastAsia="宋体" w:hAnsi="宋体" w:hint="eastAsia"/>
          <w:sz w:val="32"/>
          <w:szCs w:val="32"/>
        </w:rPr>
        <w:t>用于原生生活垃圾应急填埋和飞灰填埋，有效延长填埋场寿命，保障城市的安全运行；或在生态修复后作为新的公共空间开发改造，提升土地的利用价值，促进存量低效用地二次开发，带动周边的城市开发。</w:t>
      </w:r>
    </w:p>
    <w:p w:rsidR="00A73074" w:rsidRDefault="00CF0EBA">
      <w:pPr>
        <w:pStyle w:val="2"/>
        <w:rPr>
          <w:rFonts w:ascii="宋体" w:eastAsia="宋体" w:hAnsi="宋体"/>
        </w:rPr>
      </w:pPr>
      <w:bookmarkStart w:id="31" w:name="_Toc499284810"/>
      <w:bookmarkStart w:id="32" w:name="_Toc499284802"/>
      <w:bookmarkStart w:id="33" w:name="_Toc7615"/>
      <w:bookmarkStart w:id="34" w:name="_Toc499284548"/>
      <w:bookmarkStart w:id="35" w:name="_Toc499284556"/>
      <w:bookmarkStart w:id="36" w:name="_Toc439229155"/>
      <w:bookmarkStart w:id="37" w:name="_Toc439230823"/>
      <w:bookmarkStart w:id="38" w:name="_Toc97711975"/>
      <w:bookmarkEnd w:id="23"/>
      <w:bookmarkEnd w:id="24"/>
      <w:r>
        <w:rPr>
          <w:rFonts w:ascii="宋体" w:eastAsia="宋体" w:hAnsi="宋体" w:hint="eastAsia"/>
        </w:rPr>
        <w:t>（五）</w:t>
      </w:r>
      <w:bookmarkEnd w:id="19"/>
      <w:bookmarkEnd w:id="20"/>
      <w:bookmarkEnd w:id="21"/>
      <w:bookmarkEnd w:id="22"/>
      <w:bookmarkEnd w:id="31"/>
      <w:bookmarkEnd w:id="32"/>
      <w:bookmarkEnd w:id="33"/>
      <w:bookmarkEnd w:id="34"/>
      <w:bookmarkEnd w:id="35"/>
      <w:bookmarkEnd w:id="36"/>
      <w:bookmarkEnd w:id="37"/>
      <w:r>
        <w:rPr>
          <w:rFonts w:ascii="宋体" w:eastAsia="宋体" w:hAnsi="宋体" w:hint="eastAsia"/>
        </w:rPr>
        <w:t>生活垃圾处理设施建设远期规划</w:t>
      </w:r>
      <w:bookmarkEnd w:id="38"/>
    </w:p>
    <w:p w:rsidR="00A73074" w:rsidRDefault="00CF0EBA">
      <w:pPr>
        <w:tabs>
          <w:tab w:val="left" w:pos="709"/>
          <w:tab w:val="left" w:pos="2977"/>
        </w:tabs>
        <w:spacing w:line="360" w:lineRule="auto"/>
        <w:ind w:firstLineChars="200" w:firstLine="640"/>
        <w:rPr>
          <w:rFonts w:ascii="宋体" w:eastAsia="宋体" w:hAnsi="宋体"/>
          <w:sz w:val="32"/>
          <w:szCs w:val="32"/>
        </w:rPr>
      </w:pPr>
      <w:r>
        <w:rPr>
          <w:rFonts w:ascii="宋体" w:eastAsia="宋体" w:hAnsi="宋体" w:hint="eastAsia"/>
          <w:sz w:val="32"/>
          <w:szCs w:val="32"/>
        </w:rPr>
        <w:t>根据预测，</w:t>
      </w:r>
      <w:r>
        <w:rPr>
          <w:rFonts w:ascii="宋体" w:eastAsia="宋体" w:hAnsi="宋体" w:hint="eastAsia"/>
          <w:sz w:val="32"/>
          <w:szCs w:val="32"/>
        </w:rPr>
        <w:t>2035</w:t>
      </w:r>
      <w:r>
        <w:rPr>
          <w:rFonts w:ascii="宋体" w:eastAsia="宋体" w:hAnsi="宋体" w:hint="eastAsia"/>
          <w:sz w:val="32"/>
          <w:szCs w:val="32"/>
        </w:rPr>
        <w:t>年前我市生活垃圾处理能力将出现缺口。为统筹考虑土地资源的长远规划与短期利用的矛盾，同时兼顾社会经济长远发展与土地资源消耗的平衡，遵循生活垃圾处理设施建设周期，“十四五”期间计划启动广州市第二资源热力电厂、兴丰生物质综合处理厂等项目前期论证工作，结合兴丰环保搬迁的实施，规划控</w:t>
      </w:r>
      <w:r>
        <w:rPr>
          <w:rFonts w:ascii="宋体" w:eastAsia="宋体" w:hAnsi="宋体" w:hint="eastAsia"/>
          <w:sz w:val="32"/>
          <w:szCs w:val="32"/>
        </w:rPr>
        <w:t>制设施用地。</w:t>
      </w:r>
    </w:p>
    <w:p w:rsidR="00A73074" w:rsidRDefault="00CF0EBA">
      <w:pPr>
        <w:spacing w:line="360" w:lineRule="auto"/>
        <w:ind w:firstLineChars="200" w:firstLine="640"/>
        <w:contextualSpacing/>
        <w:jc w:val="left"/>
        <w:rPr>
          <w:rFonts w:ascii="宋体" w:eastAsia="宋体" w:hAnsi="宋体"/>
          <w:sz w:val="32"/>
          <w:szCs w:val="32"/>
        </w:rPr>
      </w:pPr>
      <w:r>
        <w:rPr>
          <w:rFonts w:ascii="宋体" w:eastAsia="宋体" w:hAnsi="宋体"/>
          <w:sz w:val="32"/>
          <w:szCs w:val="32"/>
        </w:rPr>
        <w:br w:type="page"/>
      </w:r>
    </w:p>
    <w:p w:rsidR="00A73074" w:rsidRDefault="00CF0EBA">
      <w:pPr>
        <w:pStyle w:val="1"/>
        <w:rPr>
          <w:rFonts w:ascii="宋体" w:hAnsi="宋体"/>
          <w:sz w:val="32"/>
          <w:szCs w:val="32"/>
        </w:rPr>
      </w:pPr>
      <w:bookmarkStart w:id="39" w:name="_Toc97711976"/>
      <w:r>
        <w:rPr>
          <w:rFonts w:ascii="宋体" w:hAnsi="宋体" w:hint="eastAsia"/>
          <w:sz w:val="32"/>
          <w:szCs w:val="32"/>
        </w:rPr>
        <w:lastRenderedPageBreak/>
        <w:t>五、</w:t>
      </w:r>
      <w:r>
        <w:rPr>
          <w:rFonts w:ascii="宋体" w:hAnsi="宋体"/>
          <w:sz w:val="32"/>
          <w:szCs w:val="32"/>
        </w:rPr>
        <w:tab/>
      </w:r>
      <w:r>
        <w:rPr>
          <w:rFonts w:ascii="宋体" w:hAnsi="宋体" w:hint="eastAsia"/>
          <w:sz w:val="32"/>
          <w:szCs w:val="32"/>
        </w:rPr>
        <w:t>保障措施</w:t>
      </w:r>
      <w:bookmarkEnd w:id="39"/>
    </w:p>
    <w:p w:rsidR="00A73074" w:rsidRDefault="00CF0EBA">
      <w:pPr>
        <w:pStyle w:val="2"/>
        <w:rPr>
          <w:rFonts w:ascii="宋体" w:eastAsia="宋体" w:hAnsi="宋体"/>
        </w:rPr>
      </w:pPr>
      <w:bookmarkStart w:id="40" w:name="_Hlk58236930"/>
      <w:bookmarkStart w:id="41" w:name="_Toc97711977"/>
      <w:r>
        <w:rPr>
          <w:rFonts w:ascii="宋体" w:eastAsia="宋体" w:hAnsi="宋体" w:hint="eastAsia"/>
        </w:rPr>
        <w:t>（一）</w:t>
      </w:r>
      <w:bookmarkEnd w:id="40"/>
      <w:r>
        <w:rPr>
          <w:rFonts w:ascii="宋体" w:eastAsia="宋体" w:hAnsi="宋体"/>
        </w:rPr>
        <w:t>加强</w:t>
      </w:r>
      <w:r>
        <w:rPr>
          <w:rFonts w:ascii="宋体" w:eastAsia="宋体" w:hAnsi="宋体" w:hint="eastAsia"/>
        </w:rPr>
        <w:t>组织领导</w:t>
      </w:r>
      <w:bookmarkEnd w:id="41"/>
    </w:p>
    <w:p w:rsidR="00A73074" w:rsidRDefault="00CF0EBA" w:rsidP="003A6578">
      <w:pPr>
        <w:spacing w:afterLines="50" w:line="360" w:lineRule="auto"/>
        <w:ind w:firstLineChars="200" w:firstLine="640"/>
        <w:rPr>
          <w:rFonts w:ascii="宋体" w:eastAsia="宋体" w:hAnsi="宋体"/>
          <w:sz w:val="32"/>
          <w:szCs w:val="32"/>
        </w:rPr>
      </w:pPr>
      <w:r>
        <w:rPr>
          <w:rFonts w:ascii="宋体" w:eastAsia="宋体" w:hAnsi="宋体" w:hint="eastAsia"/>
          <w:sz w:val="32"/>
          <w:szCs w:val="32"/>
        </w:rPr>
        <w:t>深入贯彻落实习近平生态文明思想和习近平总书记关于垃圾分类工作系列重要批示指示精神，充分发挥我市城市管理工作领导小组办公室的宏观谋划、高位统筹、综合协调、督查落实职能，进一步加强与市发展改革委、财政局、规划和自然资源局、生态环境等</w:t>
      </w:r>
      <w:r>
        <w:rPr>
          <w:rFonts w:ascii="宋体" w:eastAsia="宋体" w:hAnsi="宋体" w:hint="eastAsia"/>
          <w:sz w:val="32"/>
          <w:szCs w:val="32"/>
        </w:rPr>
        <w:t>城市管理领导小组</w:t>
      </w:r>
      <w:r>
        <w:rPr>
          <w:rFonts w:ascii="宋体" w:eastAsia="宋体" w:hAnsi="宋体" w:hint="eastAsia"/>
          <w:sz w:val="32"/>
          <w:szCs w:val="32"/>
        </w:rPr>
        <w:t>成员单位之间的沟通协调，压实属地各级政府责任，</w:t>
      </w:r>
      <w:r>
        <w:rPr>
          <w:rFonts w:ascii="宋体" w:eastAsia="宋体" w:hAnsi="宋体"/>
          <w:sz w:val="32"/>
          <w:szCs w:val="32"/>
        </w:rPr>
        <w:t>把</w:t>
      </w:r>
      <w:r>
        <w:rPr>
          <w:rFonts w:ascii="宋体" w:eastAsia="宋体" w:hAnsi="宋体" w:hint="eastAsia"/>
          <w:sz w:val="32"/>
          <w:szCs w:val="32"/>
        </w:rPr>
        <w:t>推动</w:t>
      </w:r>
      <w:r>
        <w:rPr>
          <w:rFonts w:ascii="宋体" w:eastAsia="宋体" w:hAnsi="宋体"/>
          <w:sz w:val="32"/>
          <w:szCs w:val="32"/>
        </w:rPr>
        <w:t>规划落实列入重要议事日程，</w:t>
      </w:r>
      <w:r>
        <w:rPr>
          <w:rFonts w:ascii="宋体" w:eastAsia="宋体" w:hAnsi="宋体" w:hint="eastAsia"/>
          <w:sz w:val="32"/>
          <w:szCs w:val="32"/>
        </w:rPr>
        <w:t>完善规划实施分工协作机制，推进跨部门协同联动，保障设施建设顺利</w:t>
      </w:r>
      <w:r>
        <w:rPr>
          <w:rFonts w:ascii="宋体" w:eastAsia="宋体" w:hAnsi="宋体"/>
          <w:sz w:val="32"/>
          <w:szCs w:val="32"/>
        </w:rPr>
        <w:t>落地。</w:t>
      </w:r>
    </w:p>
    <w:p w:rsidR="00A73074" w:rsidRDefault="00CF0EBA">
      <w:pPr>
        <w:pStyle w:val="2"/>
        <w:rPr>
          <w:rFonts w:ascii="宋体" w:eastAsia="宋体" w:hAnsi="宋体"/>
        </w:rPr>
      </w:pPr>
      <w:bookmarkStart w:id="42" w:name="_Toc97711978"/>
      <w:r>
        <w:rPr>
          <w:rFonts w:ascii="宋体" w:eastAsia="宋体" w:hAnsi="宋体" w:hint="eastAsia"/>
        </w:rPr>
        <w:t>（二）强化资金保障</w:t>
      </w:r>
      <w:bookmarkEnd w:id="42"/>
    </w:p>
    <w:p w:rsidR="00A73074" w:rsidRDefault="00CF0EBA" w:rsidP="003A6578">
      <w:pPr>
        <w:spacing w:afterLines="50" w:line="360" w:lineRule="auto"/>
        <w:ind w:firstLineChars="200" w:firstLine="640"/>
        <w:rPr>
          <w:rFonts w:ascii="宋体" w:eastAsia="宋体" w:hAnsi="宋体"/>
          <w:sz w:val="32"/>
          <w:szCs w:val="32"/>
        </w:rPr>
      </w:pPr>
      <w:r>
        <w:rPr>
          <w:rFonts w:ascii="宋体" w:eastAsia="宋体" w:hAnsi="宋体" w:hint="eastAsia"/>
          <w:sz w:val="32"/>
          <w:szCs w:val="32"/>
        </w:rPr>
        <w:t>统筹政府和市场的力量，发挥好财政预算资金、政府专项资金和地方政府专项债的引导作用，鼓励社会资金积极参与生活垃圾处理设施建设。坚持生活垃圾处理的公益属性，落实好生活垃圾处理领域税收优惠政策。积极拓宽融资渠道，支持符合条件的企业通过发行企业债券、公司债券、资产支持证券募集资金用于项目建设；鼓励具备条件的项目开展基础设施领域不动产投资信托基金（</w:t>
      </w:r>
      <w:r>
        <w:rPr>
          <w:rFonts w:ascii="宋体" w:eastAsia="宋体" w:hAnsi="宋体" w:hint="eastAsia"/>
          <w:sz w:val="32"/>
          <w:szCs w:val="32"/>
        </w:rPr>
        <w:t>REITs</w:t>
      </w:r>
      <w:r>
        <w:rPr>
          <w:rFonts w:ascii="宋体" w:eastAsia="宋体" w:hAnsi="宋体" w:hint="eastAsia"/>
          <w:sz w:val="32"/>
          <w:szCs w:val="32"/>
        </w:rPr>
        <w:t>）试点。</w:t>
      </w:r>
    </w:p>
    <w:p w:rsidR="00A73074" w:rsidRDefault="00CF0EBA">
      <w:pPr>
        <w:pStyle w:val="2"/>
        <w:rPr>
          <w:rFonts w:ascii="宋体" w:eastAsia="宋体" w:hAnsi="宋体"/>
        </w:rPr>
      </w:pPr>
      <w:bookmarkStart w:id="43" w:name="_Toc97711979"/>
      <w:r>
        <w:rPr>
          <w:rFonts w:ascii="宋体" w:eastAsia="宋体" w:hAnsi="宋体" w:hint="eastAsia"/>
        </w:rPr>
        <w:lastRenderedPageBreak/>
        <w:t>（三）注重规划衔接</w:t>
      </w:r>
      <w:bookmarkEnd w:id="43"/>
    </w:p>
    <w:p w:rsidR="00A73074" w:rsidRDefault="00CF0EBA" w:rsidP="003A6578">
      <w:pPr>
        <w:spacing w:afterLines="50" w:line="360" w:lineRule="auto"/>
        <w:ind w:firstLineChars="200" w:firstLine="640"/>
        <w:rPr>
          <w:rFonts w:ascii="宋体" w:eastAsia="宋体" w:hAnsi="宋体"/>
          <w:sz w:val="32"/>
          <w:szCs w:val="32"/>
        </w:rPr>
      </w:pPr>
      <w:r>
        <w:rPr>
          <w:rFonts w:ascii="宋体" w:eastAsia="宋体" w:hAnsi="宋体" w:hint="eastAsia"/>
          <w:sz w:val="32"/>
          <w:szCs w:val="32"/>
        </w:rPr>
        <w:t>充分认识规划实施的重要性，</w:t>
      </w:r>
      <w:r>
        <w:rPr>
          <w:rFonts w:ascii="宋体" w:eastAsia="宋体" w:hAnsi="宋体"/>
          <w:sz w:val="32"/>
          <w:szCs w:val="32"/>
        </w:rPr>
        <w:t>发挥规划指导作用，</w:t>
      </w:r>
      <w:r>
        <w:rPr>
          <w:rFonts w:ascii="宋体" w:eastAsia="宋体" w:hAnsi="宋体" w:hint="eastAsia"/>
          <w:sz w:val="32"/>
          <w:szCs w:val="32"/>
        </w:rPr>
        <w:t>切实加强本规划与上层次规划和其它专项规划的协调统一，注重与区级规划对接，兼顾“适度前瞻性</w:t>
      </w:r>
      <w:r>
        <w:rPr>
          <w:rFonts w:ascii="宋体" w:eastAsia="宋体" w:hAnsi="宋体" w:hint="eastAsia"/>
          <w:sz w:val="32"/>
          <w:szCs w:val="32"/>
        </w:rPr>
        <w:t>”与“可落地实施性”，协调各类规划的空间布局，衔接市“多规合一”管理平台，突出各循环经济产业园布局优化，保障规划高效实施，推动生活垃圾处理设施建设顺利开展。</w:t>
      </w:r>
    </w:p>
    <w:p w:rsidR="00A73074" w:rsidRDefault="00CF0EBA">
      <w:pPr>
        <w:pStyle w:val="2"/>
        <w:rPr>
          <w:rFonts w:ascii="Times New Roman" w:eastAsia="仿宋_GB2312" w:hAnsi="Times New Roman"/>
        </w:rPr>
      </w:pPr>
      <w:bookmarkStart w:id="44" w:name="_Toc97711980"/>
      <w:r>
        <w:rPr>
          <w:rFonts w:ascii="宋体" w:eastAsia="宋体" w:hAnsi="宋体" w:hint="eastAsia"/>
        </w:rPr>
        <w:t>（四）做好监测评估</w:t>
      </w:r>
      <w:bookmarkEnd w:id="44"/>
    </w:p>
    <w:p w:rsidR="00A73074" w:rsidRDefault="00CF0EBA" w:rsidP="003A6578">
      <w:pPr>
        <w:spacing w:afterLines="50" w:line="360" w:lineRule="auto"/>
        <w:ind w:firstLineChars="200" w:firstLine="640"/>
        <w:rPr>
          <w:rFonts w:ascii="宋体" w:eastAsia="宋体" w:hAnsi="宋体"/>
          <w:sz w:val="32"/>
          <w:szCs w:val="32"/>
        </w:rPr>
      </w:pPr>
      <w:r>
        <w:rPr>
          <w:rFonts w:ascii="宋体" w:eastAsia="宋体" w:hAnsi="宋体" w:hint="eastAsia"/>
          <w:sz w:val="32"/>
          <w:szCs w:val="32"/>
        </w:rPr>
        <w:t>市城市管理和综合执法局会同相关部门完善规划实施监测评估机制，加强规划实施动态监测、跟踪分析，组织开展规划实施情况中期评估，落实规划总结评估，根据评估意见及时调整规划目标和任务，应对城市发展新形势新变化，确保各项目标任务落到实处。</w:t>
      </w:r>
    </w:p>
    <w:p w:rsidR="00A73074" w:rsidRDefault="00CF0EBA">
      <w:pPr>
        <w:pStyle w:val="2"/>
        <w:rPr>
          <w:rFonts w:ascii="宋体" w:eastAsia="宋体" w:hAnsi="宋体"/>
        </w:rPr>
      </w:pPr>
      <w:bookmarkStart w:id="45" w:name="_Toc97711981"/>
      <w:r>
        <w:rPr>
          <w:rFonts w:ascii="宋体" w:eastAsia="宋体" w:hAnsi="宋体" w:hint="eastAsia"/>
        </w:rPr>
        <w:t>（五）强化宣传引导</w:t>
      </w:r>
      <w:bookmarkEnd w:id="45"/>
    </w:p>
    <w:p w:rsidR="00A73074" w:rsidRDefault="00CF0EBA" w:rsidP="003A6578">
      <w:pPr>
        <w:spacing w:afterLines="50" w:line="360" w:lineRule="auto"/>
        <w:ind w:firstLineChars="200" w:firstLine="640"/>
        <w:rPr>
          <w:rFonts w:ascii="宋体" w:eastAsia="宋体" w:hAnsi="宋体"/>
          <w:sz w:val="32"/>
          <w:szCs w:val="32"/>
        </w:rPr>
      </w:pPr>
      <w:r>
        <w:rPr>
          <w:rFonts w:ascii="宋体" w:eastAsia="宋体" w:hAnsi="宋体" w:hint="eastAsia"/>
          <w:sz w:val="32"/>
          <w:szCs w:val="32"/>
        </w:rPr>
        <w:t>严格按照有关规定和程序要求，全过程公开规划选址、环境影响评价、社会稳定性风险评估等各</w:t>
      </w:r>
      <w:r>
        <w:rPr>
          <w:rFonts w:ascii="宋体" w:eastAsia="宋体" w:hAnsi="宋体" w:hint="eastAsia"/>
          <w:sz w:val="32"/>
          <w:szCs w:val="32"/>
        </w:rPr>
        <w:t>阶段信息，积极畅通公众参与渠道，充分尊重社会公众的知情权和表达权。创新宣传方式，利用电视、广播、报纸、微博、微信、门户网</w:t>
      </w:r>
      <w:r>
        <w:rPr>
          <w:rFonts w:ascii="宋体" w:eastAsia="宋体" w:hAnsi="宋体" w:hint="eastAsia"/>
          <w:sz w:val="32"/>
          <w:szCs w:val="32"/>
        </w:rPr>
        <w:lastRenderedPageBreak/>
        <w:t>站、党建平台等媒介开展广泛宣传，凝聚社会力量共识。发挥各循环经济产业园环保教育基地作用，深入开展“城管家园”、城管开放体验日等活动，让广大市民和社会各界走进垃圾处理厂、感受垃圾处理流程，增进广大市民及社会各界对垃圾处理工作的了解、理解和支持，营造良好的共建共治共享社会治理格局。</w:t>
      </w:r>
    </w:p>
    <w:p w:rsidR="00A73074" w:rsidRDefault="00A73074" w:rsidP="003A6578">
      <w:pPr>
        <w:tabs>
          <w:tab w:val="left" w:pos="709"/>
          <w:tab w:val="left" w:pos="2977"/>
        </w:tabs>
        <w:spacing w:beforeLines="20" w:line="360" w:lineRule="auto"/>
        <w:ind w:firstLineChars="198" w:firstLine="634"/>
        <w:rPr>
          <w:rFonts w:ascii="宋体" w:eastAsia="宋体" w:hAnsi="宋体"/>
          <w:sz w:val="32"/>
          <w:szCs w:val="32"/>
        </w:rPr>
      </w:pPr>
    </w:p>
    <w:p w:rsidR="00A73074" w:rsidRDefault="00A73074" w:rsidP="00A73074">
      <w:pPr>
        <w:tabs>
          <w:tab w:val="left" w:pos="709"/>
          <w:tab w:val="left" w:pos="2977"/>
        </w:tabs>
        <w:spacing w:beforeLines="20" w:line="360" w:lineRule="auto"/>
        <w:ind w:firstLineChars="198" w:firstLine="634"/>
        <w:rPr>
          <w:rFonts w:ascii="宋体" w:eastAsia="宋体" w:hAnsi="宋体"/>
          <w:sz w:val="32"/>
          <w:szCs w:val="32"/>
        </w:rPr>
      </w:pPr>
    </w:p>
    <w:sectPr w:rsidR="00A73074" w:rsidSect="00A73074">
      <w:footerReference w:type="default" r:id="rId10"/>
      <w:pgSz w:w="11906" w:h="16838"/>
      <w:pgMar w:top="2530" w:right="1514" w:bottom="1714" w:left="2081" w:header="851" w:footer="992" w:gutter="0"/>
      <w:pgNumType w:fmt="numberInDash" w:start="1"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EBA" w:rsidRDefault="00CF0EBA" w:rsidP="00A73074">
      <w:pPr>
        <w:ind w:firstLine="420"/>
      </w:pPr>
      <w:r>
        <w:separator/>
      </w:r>
    </w:p>
  </w:endnote>
  <w:endnote w:type="continuationSeparator" w:id="1">
    <w:p w:rsidR="00CF0EBA" w:rsidRDefault="00CF0EBA" w:rsidP="00A73074">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imesNewRomanPSMT">
    <w:altName w:val="Times New Roman"/>
    <w:charset w:val="00"/>
    <w:family w:val="auto"/>
    <w:pitch w:val="default"/>
    <w:sig w:usb0="00000000" w:usb1="00000000" w:usb2="00000000" w:usb3="00000000" w:csb0="00000001" w:csb1="00000000"/>
  </w:font>
  <w:font w:name="FZFSK--GBK1-0">
    <w:altName w:val="Times New Roman"/>
    <w:charset w:val="00"/>
    <w:family w:val="roman"/>
    <w:pitch w:val="default"/>
    <w:sig w:usb0="00000000" w:usb1="00000000" w:usb2="00000000" w:usb3="00000000" w:csb0="00000000" w:csb1="00000000"/>
  </w:font>
  <w:font w:name="MingLiU">
    <w:altName w:val="細明體"/>
    <w:panose1 w:val="02020509000000000000"/>
    <w:charset w:val="88"/>
    <w:family w:val="modern"/>
    <w:pitch w:val="fixed"/>
    <w:sig w:usb0="A00002FF" w:usb1="28CFFCFA" w:usb2="00000016" w:usb3="00000000" w:csb0="00100001" w:csb1="00000000"/>
  </w:font>
  <w:font w:name="楷体">
    <w:altName w:val="方正楷体_GBK"/>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Bitstream Charter">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074" w:rsidRDefault="00A73074">
    <w:pPr>
      <w:pStyle w:val="a6"/>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filled="f" stroked="f" strokeweight=".5pt">
          <v:textbox style="mso-fit-shape-to-text:t" inset="0,0,0,0">
            <w:txbxContent>
              <w:p w:rsidR="00A73074" w:rsidRDefault="00A73074">
                <w:pPr>
                  <w:pStyle w:val="a6"/>
                </w:pPr>
                <w:r>
                  <w:fldChar w:fldCharType="begin"/>
                </w:r>
                <w:r w:rsidR="00CF0EBA">
                  <w:instrText xml:space="preserve"> PAGE  \* MERGEFORMAT </w:instrText>
                </w:r>
                <w:r>
                  <w:fldChar w:fldCharType="separate"/>
                </w:r>
                <w:r w:rsidR="003A6578">
                  <w:rPr>
                    <w:noProof/>
                  </w:rPr>
                  <w:t>- 1 -</w:t>
                </w:r>
                <w:r>
                  <w:fldChar w:fldCharType="end"/>
                </w:r>
              </w:p>
            </w:txbxContent>
          </v:textbox>
          <w10:wrap anchorx="margin"/>
        </v:shape>
      </w:pict>
    </w:r>
  </w:p>
  <w:p w:rsidR="00A73074" w:rsidRDefault="00A7307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074" w:rsidRDefault="00A73074">
    <w:pPr>
      <w:pStyle w:val="a6"/>
      <w:jc w:val="center"/>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59264;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filled="f" stroked="f" strokeweight=".5pt">
          <v:textbox style="mso-fit-shape-to-text:t" inset="0,0,0,0">
            <w:txbxContent>
              <w:sdt>
                <w:sdtPr>
                  <w:id w:val="-299071532"/>
                </w:sdtPr>
                <w:sdtContent>
                  <w:p w:rsidR="00A73074" w:rsidRDefault="00A73074">
                    <w:pPr>
                      <w:pStyle w:val="a6"/>
                      <w:jc w:val="center"/>
                    </w:pPr>
                    <w:r>
                      <w:rPr>
                        <w:lang w:val="zh-CN"/>
                      </w:rPr>
                      <w:fldChar w:fldCharType="begin"/>
                    </w:r>
                    <w:r w:rsidR="00CF0EBA">
                      <w:rPr>
                        <w:lang w:val="zh-CN"/>
                      </w:rPr>
                      <w:instrText>PAGE   \* MERGEFORMAT</w:instrText>
                    </w:r>
                    <w:r>
                      <w:rPr>
                        <w:lang w:val="zh-CN"/>
                      </w:rPr>
                      <w:fldChar w:fldCharType="separate"/>
                    </w:r>
                    <w:r w:rsidR="003A6578">
                      <w:rPr>
                        <w:noProof/>
                        <w:lang w:val="zh-CN"/>
                      </w:rPr>
                      <w:t>- 1 -</w:t>
                    </w:r>
                    <w:r>
                      <w:rPr>
                        <w:lang w:val="zh-CN"/>
                      </w:rPr>
                      <w:fldChar w:fldCharType="end"/>
                    </w:r>
                  </w:p>
                </w:sdtContent>
              </w:sdt>
              <w:p w:rsidR="00A73074" w:rsidRDefault="00A73074"/>
            </w:txbxContent>
          </v:textbox>
          <w10:wrap anchorx="margin"/>
        </v:shape>
      </w:pict>
    </w:r>
  </w:p>
  <w:p w:rsidR="00A73074" w:rsidRDefault="00A7307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074" w:rsidRDefault="00A73074">
    <w:pPr>
      <w:pStyle w:val="a6"/>
      <w:jc w:val="right"/>
    </w:pPr>
    <w:r>
      <w:pict>
        <v:shapetype id="_x0000_t202" coordsize="21600,21600" o:spt="202" path="m,l,21600r21600,l21600,xe">
          <v:stroke joinstyle="miter"/>
          <v:path gradientshapeok="t" o:connecttype="rect"/>
        </v:shapetype>
        <v:shape id="_x0000_s1027" type="#_x0000_t202" style="position:absolute;left:0;text-align:left;margin-left:195.7pt;margin-top:-.75pt;width:2in;height:2in;z-index:251660288;mso-wrap-style:none;mso-position-horizontal-relative:margin" o:gfxdata="UEsFBgAAAAAAAAAAAAAAAAAAAAAAAFBLAwQKAAAAAACHTuJAAAAAAAAAAAAAAAAABAAAAGRycy9Q&#10;SwMEFAAAAAgAh07iQNz5pzHZAAAACgEAAA8AAABkcnMvZG93bnJldi54bWxNj8tOwzAQRfdI/IM1&#10;SOxaJ32ENs2kEhVhiUTDgqUbT5OAH5HtpuHvMSu6nJmjO+cW+0krNpLzvTUI6TwBRqaxsjctwkdd&#10;zTbAfBBGCmUNIfyQh315f1eIXNqreafxGFoWQ4zPBUIXwpBz7puOtPBzO5CJt7N1WoQ4upZLJ64x&#10;XCu+SJKMa9Gb+KETAx06ar6PF41wqOrajeSd+qTXavn19ryilwnx8SFNdsACTeEfhj/9qA5ldDrZ&#10;i5GeKYTlNl1FFGGWroFFIHvaxsUJYbHJ1sDLgt9WKH8BUEsDBBQAAAAIAIdO4kAXuukrFgIAABkE&#10;AAAOAAAAZHJzL2Uyb0RvYy54bWytU8uO0zAU3SPxD5b3NGkrRlXVdFRmVIRUMSMVxNp17CaSY1u2&#10;26R8APwBKzbs+a5+xxy7SQcBK8TGOdf35j7OPV7cdo0iR+F8bXRBx6OcEqG5KWu9L+jHD+tXM0p8&#10;YLpkymhR0JPw9Hb58sWitXMxMZVRpXAESbSft7agVQh2nmWeV6JhfmSs0HBK4xoWYLp9VjrWInuj&#10;skme32StcaV1hgvvcXt/cdJlyi+l4OFBSi8CUQVFbyGdLp27eGbLBZvvHbNVzfs22D900bBao+g1&#10;1T0LjBxc/UeqpubOeCPDiJsmM1LWXKQZMM04/22abcWsSLOAHG+vNPn/l5a/Pz46UpcFnVKiWYMV&#10;nb99PX//ef7xhUwjPa31c0RtLeJC98Z0BQ3uIAaXx30cvJOuiV+MRBACrk9XfkUXCMfleDaZzXK4&#10;OHyDgRLZ8+/W+fBWmIZEUFCHBSZe2XHjwyV0CInVtFnXSqUlKk3agt5MX+fph6sHyZVGjTjHpdmI&#10;Qrfr+uF2pjxhNmcu4vCWr2sU3zAfHpmDGtAwFB4ecEhlUMT0iJLKuM9/u4/xWBK8lLRQV0E15E+J&#10;eqexvCjEAbgB7AagD82dgVzHeDmWJ4gfXFADlM40nyD7VawhmfJIzDRHNaxmgHcBVu/E8+Fitbra&#10;kJ5lYaO3lvfLjFx6uzoE8JlojhxdiOmpg/7Sovq3EgX+q52inl/08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Dc+acx2QAAAAoBAAAPAAAAAAAAAAEAIAAAADgAAABkcnMvZG93bnJldi54bWxQSwEC&#10;FAAUAAAACACHTuJAF7rpKxYCAAAZBAAADgAAAAAAAAABACAAAAA+AQAAZHJzL2Uyb0RvYy54bWxQ&#10;SwUGAAAAAAYABgBZAQAAxgUAAAAA&#10;" filled="f" stroked="f" strokeweight=".5pt">
          <v:textbox style="mso-fit-shape-to-text:t" inset="0,0,0,0">
            <w:txbxContent>
              <w:p w:rsidR="00A73074" w:rsidRDefault="00A73074">
                <w:pPr>
                  <w:pStyle w:val="a6"/>
                  <w:jc w:val="right"/>
                  <w:rPr>
                    <w:rFonts w:ascii="Bitstream Charter" w:hAnsi="Bitstream Charter" w:cs="Bitstream Charter" w:hint="eastAsia"/>
                    <w:sz w:val="24"/>
                    <w:szCs w:val="24"/>
                  </w:rPr>
                </w:pPr>
                <w:r>
                  <w:rPr>
                    <w:rFonts w:ascii="Bitstream Charter" w:hAnsi="Bitstream Charter" w:cs="Bitstream Charter"/>
                    <w:sz w:val="24"/>
                    <w:szCs w:val="24"/>
                    <w:lang w:val="zh-CN"/>
                  </w:rPr>
                  <w:fldChar w:fldCharType="begin"/>
                </w:r>
                <w:r w:rsidR="00CF0EBA">
                  <w:rPr>
                    <w:rFonts w:ascii="Bitstream Charter" w:hAnsi="Bitstream Charter" w:cs="Bitstream Charter"/>
                    <w:sz w:val="24"/>
                    <w:szCs w:val="24"/>
                    <w:lang w:val="zh-CN"/>
                  </w:rPr>
                  <w:instrText>PAGE   \* MERGEFORMAT</w:instrText>
                </w:r>
                <w:r>
                  <w:rPr>
                    <w:rFonts w:ascii="Bitstream Charter" w:hAnsi="Bitstream Charter" w:cs="Bitstream Charter"/>
                    <w:sz w:val="24"/>
                    <w:szCs w:val="24"/>
                    <w:lang w:val="zh-CN"/>
                  </w:rPr>
                  <w:fldChar w:fldCharType="separate"/>
                </w:r>
                <w:r w:rsidR="003A6578">
                  <w:rPr>
                    <w:rFonts w:ascii="Bitstream Charter" w:hAnsi="Bitstream Charter" w:cs="Bitstream Charter" w:hint="eastAsia"/>
                    <w:noProof/>
                    <w:sz w:val="24"/>
                    <w:szCs w:val="24"/>
                    <w:lang w:val="zh-CN"/>
                  </w:rPr>
                  <w:t>- 2 -</w:t>
                </w:r>
                <w:r>
                  <w:rPr>
                    <w:rFonts w:ascii="Bitstream Charter" w:hAnsi="Bitstream Charter" w:cs="Bitstream Charter"/>
                    <w:sz w:val="24"/>
                    <w:szCs w:val="24"/>
                    <w:lang w:val="zh-CN"/>
                  </w:rPr>
                  <w:fldChar w:fldCharType="end"/>
                </w:r>
              </w:p>
            </w:txbxContent>
          </v:textbox>
          <w10:wrap anchorx="margin"/>
        </v:shape>
      </w:pict>
    </w:r>
  </w:p>
  <w:p w:rsidR="00A73074" w:rsidRDefault="00A7307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EBA" w:rsidRDefault="00CF0EBA" w:rsidP="00A73074">
      <w:pPr>
        <w:ind w:firstLine="420"/>
      </w:pPr>
      <w:r>
        <w:separator/>
      </w:r>
    </w:p>
  </w:footnote>
  <w:footnote w:type="continuationSeparator" w:id="1">
    <w:p w:rsidR="00CF0EBA" w:rsidRDefault="00CF0EBA" w:rsidP="00A73074">
      <w:pPr>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E238F"/>
    <w:multiLevelType w:val="multilevel"/>
    <w:tmpl w:val="1EBE238F"/>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2415"/>
    <w:rsid w:val="CFF3FA99"/>
    <w:rsid w:val="E77D6C1E"/>
    <w:rsid w:val="FFEDEA7B"/>
    <w:rsid w:val="00001204"/>
    <w:rsid w:val="00002E0A"/>
    <w:rsid w:val="0000404F"/>
    <w:rsid w:val="00004433"/>
    <w:rsid w:val="000053BD"/>
    <w:rsid w:val="000058BC"/>
    <w:rsid w:val="000069CA"/>
    <w:rsid w:val="00010A09"/>
    <w:rsid w:val="00013DD9"/>
    <w:rsid w:val="00023486"/>
    <w:rsid w:val="00031104"/>
    <w:rsid w:val="00031E81"/>
    <w:rsid w:val="00033CA5"/>
    <w:rsid w:val="000353C8"/>
    <w:rsid w:val="00036DDF"/>
    <w:rsid w:val="000445BF"/>
    <w:rsid w:val="00050FF8"/>
    <w:rsid w:val="00055EE1"/>
    <w:rsid w:val="0005675C"/>
    <w:rsid w:val="0005759F"/>
    <w:rsid w:val="000614ED"/>
    <w:rsid w:val="00061D36"/>
    <w:rsid w:val="00063041"/>
    <w:rsid w:val="00065705"/>
    <w:rsid w:val="00066054"/>
    <w:rsid w:val="00071F23"/>
    <w:rsid w:val="00080239"/>
    <w:rsid w:val="00082D77"/>
    <w:rsid w:val="00084206"/>
    <w:rsid w:val="00084DF6"/>
    <w:rsid w:val="00086C4F"/>
    <w:rsid w:val="00091649"/>
    <w:rsid w:val="00095FF9"/>
    <w:rsid w:val="000A2EBF"/>
    <w:rsid w:val="000A34A9"/>
    <w:rsid w:val="000A4818"/>
    <w:rsid w:val="000A488E"/>
    <w:rsid w:val="000B007F"/>
    <w:rsid w:val="000B16F0"/>
    <w:rsid w:val="000B1D65"/>
    <w:rsid w:val="000B48FC"/>
    <w:rsid w:val="000B6998"/>
    <w:rsid w:val="000C2727"/>
    <w:rsid w:val="000D01CF"/>
    <w:rsid w:val="000D194D"/>
    <w:rsid w:val="000D3F3F"/>
    <w:rsid w:val="000D53D2"/>
    <w:rsid w:val="000D5D24"/>
    <w:rsid w:val="000E0460"/>
    <w:rsid w:val="000E0CA7"/>
    <w:rsid w:val="000E1B1B"/>
    <w:rsid w:val="000E1EE5"/>
    <w:rsid w:val="000E37CF"/>
    <w:rsid w:val="000E424D"/>
    <w:rsid w:val="000F10D6"/>
    <w:rsid w:val="000F468C"/>
    <w:rsid w:val="0010025C"/>
    <w:rsid w:val="00106069"/>
    <w:rsid w:val="001104E5"/>
    <w:rsid w:val="001175A3"/>
    <w:rsid w:val="00117A72"/>
    <w:rsid w:val="00121C1A"/>
    <w:rsid w:val="00125E23"/>
    <w:rsid w:val="00127ABC"/>
    <w:rsid w:val="001301B1"/>
    <w:rsid w:val="001317F0"/>
    <w:rsid w:val="00134E13"/>
    <w:rsid w:val="001351BB"/>
    <w:rsid w:val="0013540C"/>
    <w:rsid w:val="00137027"/>
    <w:rsid w:val="001416C9"/>
    <w:rsid w:val="00143C57"/>
    <w:rsid w:val="00151104"/>
    <w:rsid w:val="00151C5A"/>
    <w:rsid w:val="00156228"/>
    <w:rsid w:val="00156A4E"/>
    <w:rsid w:val="00160F79"/>
    <w:rsid w:val="00162DEC"/>
    <w:rsid w:val="0016371F"/>
    <w:rsid w:val="0016732D"/>
    <w:rsid w:val="00167900"/>
    <w:rsid w:val="00167C10"/>
    <w:rsid w:val="001702BD"/>
    <w:rsid w:val="001711C8"/>
    <w:rsid w:val="0017376A"/>
    <w:rsid w:val="00174825"/>
    <w:rsid w:val="00176C24"/>
    <w:rsid w:val="00176FAB"/>
    <w:rsid w:val="0017727D"/>
    <w:rsid w:val="00181366"/>
    <w:rsid w:val="0018460E"/>
    <w:rsid w:val="00190B74"/>
    <w:rsid w:val="00193D39"/>
    <w:rsid w:val="00197C0E"/>
    <w:rsid w:val="001A03D5"/>
    <w:rsid w:val="001A5DCF"/>
    <w:rsid w:val="001B0F02"/>
    <w:rsid w:val="001B25F5"/>
    <w:rsid w:val="001B4353"/>
    <w:rsid w:val="001B4D4F"/>
    <w:rsid w:val="001B4FCB"/>
    <w:rsid w:val="001C4AFB"/>
    <w:rsid w:val="001C54D2"/>
    <w:rsid w:val="001C69A9"/>
    <w:rsid w:val="001D095F"/>
    <w:rsid w:val="001D6A93"/>
    <w:rsid w:val="001D6EF5"/>
    <w:rsid w:val="001E1EE4"/>
    <w:rsid w:val="001E645F"/>
    <w:rsid w:val="001E6FFF"/>
    <w:rsid w:val="001F374B"/>
    <w:rsid w:val="001F4786"/>
    <w:rsid w:val="001F4A9D"/>
    <w:rsid w:val="001F61A8"/>
    <w:rsid w:val="001F7605"/>
    <w:rsid w:val="00202D61"/>
    <w:rsid w:val="0020551F"/>
    <w:rsid w:val="00207A80"/>
    <w:rsid w:val="002134E0"/>
    <w:rsid w:val="002153EA"/>
    <w:rsid w:val="002171E5"/>
    <w:rsid w:val="00217D8E"/>
    <w:rsid w:val="00220EF5"/>
    <w:rsid w:val="00223505"/>
    <w:rsid w:val="00224A61"/>
    <w:rsid w:val="00226824"/>
    <w:rsid w:val="00227C1C"/>
    <w:rsid w:val="00230AEB"/>
    <w:rsid w:val="0023255E"/>
    <w:rsid w:val="00235628"/>
    <w:rsid w:val="00237039"/>
    <w:rsid w:val="00243B9A"/>
    <w:rsid w:val="0024509E"/>
    <w:rsid w:val="00245FEA"/>
    <w:rsid w:val="002500FF"/>
    <w:rsid w:val="00250712"/>
    <w:rsid w:val="00252D3A"/>
    <w:rsid w:val="00256E34"/>
    <w:rsid w:val="00261286"/>
    <w:rsid w:val="0026299A"/>
    <w:rsid w:val="00264341"/>
    <w:rsid w:val="0026498E"/>
    <w:rsid w:val="0027166C"/>
    <w:rsid w:val="00271BEE"/>
    <w:rsid w:val="00273DD6"/>
    <w:rsid w:val="00275D24"/>
    <w:rsid w:val="002807F0"/>
    <w:rsid w:val="00280AC0"/>
    <w:rsid w:val="00283B84"/>
    <w:rsid w:val="0028690E"/>
    <w:rsid w:val="00287012"/>
    <w:rsid w:val="00296291"/>
    <w:rsid w:val="00297055"/>
    <w:rsid w:val="002972C0"/>
    <w:rsid w:val="002A0CFD"/>
    <w:rsid w:val="002A30E1"/>
    <w:rsid w:val="002A4A70"/>
    <w:rsid w:val="002B2B04"/>
    <w:rsid w:val="002C3CA1"/>
    <w:rsid w:val="002C4051"/>
    <w:rsid w:val="002D0AD3"/>
    <w:rsid w:val="002D17C0"/>
    <w:rsid w:val="002D2797"/>
    <w:rsid w:val="002D2E54"/>
    <w:rsid w:val="002D59C6"/>
    <w:rsid w:val="002D6A28"/>
    <w:rsid w:val="002D7CBB"/>
    <w:rsid w:val="002E28E3"/>
    <w:rsid w:val="002F3F61"/>
    <w:rsid w:val="002F4B90"/>
    <w:rsid w:val="002F5F13"/>
    <w:rsid w:val="002F5F52"/>
    <w:rsid w:val="002F73DF"/>
    <w:rsid w:val="00301FB5"/>
    <w:rsid w:val="0031051A"/>
    <w:rsid w:val="00312303"/>
    <w:rsid w:val="00314995"/>
    <w:rsid w:val="00320719"/>
    <w:rsid w:val="00321875"/>
    <w:rsid w:val="0032448F"/>
    <w:rsid w:val="00326676"/>
    <w:rsid w:val="00327319"/>
    <w:rsid w:val="00330B1E"/>
    <w:rsid w:val="00331153"/>
    <w:rsid w:val="00333D8C"/>
    <w:rsid w:val="0034082A"/>
    <w:rsid w:val="00341EBD"/>
    <w:rsid w:val="003602DA"/>
    <w:rsid w:val="00362C5D"/>
    <w:rsid w:val="00366E9B"/>
    <w:rsid w:val="0036794C"/>
    <w:rsid w:val="00367EC8"/>
    <w:rsid w:val="003710DC"/>
    <w:rsid w:val="003739BE"/>
    <w:rsid w:val="0037404F"/>
    <w:rsid w:val="0037597F"/>
    <w:rsid w:val="0037709F"/>
    <w:rsid w:val="00380953"/>
    <w:rsid w:val="00381AF6"/>
    <w:rsid w:val="00381B60"/>
    <w:rsid w:val="00382908"/>
    <w:rsid w:val="003833C3"/>
    <w:rsid w:val="003834B7"/>
    <w:rsid w:val="00387EEF"/>
    <w:rsid w:val="003904F9"/>
    <w:rsid w:val="00396A01"/>
    <w:rsid w:val="003A1370"/>
    <w:rsid w:val="003A2E36"/>
    <w:rsid w:val="003A4395"/>
    <w:rsid w:val="003A4B42"/>
    <w:rsid w:val="003A4BCB"/>
    <w:rsid w:val="003A6578"/>
    <w:rsid w:val="003B4893"/>
    <w:rsid w:val="003C09F8"/>
    <w:rsid w:val="003C4CC6"/>
    <w:rsid w:val="003C6678"/>
    <w:rsid w:val="003C674C"/>
    <w:rsid w:val="003D149A"/>
    <w:rsid w:val="003D31C5"/>
    <w:rsid w:val="003D3E2E"/>
    <w:rsid w:val="003D4CB2"/>
    <w:rsid w:val="003D6913"/>
    <w:rsid w:val="003D6FFF"/>
    <w:rsid w:val="003E0534"/>
    <w:rsid w:val="003E09E2"/>
    <w:rsid w:val="003E0DEA"/>
    <w:rsid w:val="003E2E57"/>
    <w:rsid w:val="003E7D77"/>
    <w:rsid w:val="003F09C6"/>
    <w:rsid w:val="003F0D68"/>
    <w:rsid w:val="003F289F"/>
    <w:rsid w:val="003F7668"/>
    <w:rsid w:val="0041102D"/>
    <w:rsid w:val="00413119"/>
    <w:rsid w:val="00424455"/>
    <w:rsid w:val="00424699"/>
    <w:rsid w:val="00426B06"/>
    <w:rsid w:val="00426C17"/>
    <w:rsid w:val="0043239B"/>
    <w:rsid w:val="004326BE"/>
    <w:rsid w:val="00437156"/>
    <w:rsid w:val="00437260"/>
    <w:rsid w:val="0043755C"/>
    <w:rsid w:val="00443078"/>
    <w:rsid w:val="00450CFB"/>
    <w:rsid w:val="004548E3"/>
    <w:rsid w:val="00455225"/>
    <w:rsid w:val="00460662"/>
    <w:rsid w:val="00460B35"/>
    <w:rsid w:val="00460D47"/>
    <w:rsid w:val="004610A9"/>
    <w:rsid w:val="00462D63"/>
    <w:rsid w:val="00465DFD"/>
    <w:rsid w:val="004700E8"/>
    <w:rsid w:val="0047022A"/>
    <w:rsid w:val="00471327"/>
    <w:rsid w:val="004730FC"/>
    <w:rsid w:val="00473BF1"/>
    <w:rsid w:val="0047468F"/>
    <w:rsid w:val="00474D98"/>
    <w:rsid w:val="00477538"/>
    <w:rsid w:val="00480711"/>
    <w:rsid w:val="0048129B"/>
    <w:rsid w:val="00481AB8"/>
    <w:rsid w:val="004836D9"/>
    <w:rsid w:val="004862B6"/>
    <w:rsid w:val="00486765"/>
    <w:rsid w:val="004876BF"/>
    <w:rsid w:val="00496A35"/>
    <w:rsid w:val="0049795A"/>
    <w:rsid w:val="004A0796"/>
    <w:rsid w:val="004A3F4E"/>
    <w:rsid w:val="004A41DC"/>
    <w:rsid w:val="004A47A0"/>
    <w:rsid w:val="004A5077"/>
    <w:rsid w:val="004B0DF5"/>
    <w:rsid w:val="004B2538"/>
    <w:rsid w:val="004B4C25"/>
    <w:rsid w:val="004B6279"/>
    <w:rsid w:val="004B63EA"/>
    <w:rsid w:val="004C340A"/>
    <w:rsid w:val="004C43B4"/>
    <w:rsid w:val="004C6D2D"/>
    <w:rsid w:val="004C7565"/>
    <w:rsid w:val="004C7866"/>
    <w:rsid w:val="004D0D77"/>
    <w:rsid w:val="004D70A6"/>
    <w:rsid w:val="004E3965"/>
    <w:rsid w:val="004E4425"/>
    <w:rsid w:val="004F0445"/>
    <w:rsid w:val="004F15E3"/>
    <w:rsid w:val="004F201D"/>
    <w:rsid w:val="004F475F"/>
    <w:rsid w:val="00502C44"/>
    <w:rsid w:val="00502E3F"/>
    <w:rsid w:val="005063FF"/>
    <w:rsid w:val="005066E4"/>
    <w:rsid w:val="00506815"/>
    <w:rsid w:val="00511B93"/>
    <w:rsid w:val="00511D3B"/>
    <w:rsid w:val="00513832"/>
    <w:rsid w:val="00522195"/>
    <w:rsid w:val="00524349"/>
    <w:rsid w:val="005331DE"/>
    <w:rsid w:val="00541630"/>
    <w:rsid w:val="00542E93"/>
    <w:rsid w:val="00543DA1"/>
    <w:rsid w:val="00546C04"/>
    <w:rsid w:val="00547C5C"/>
    <w:rsid w:val="00550877"/>
    <w:rsid w:val="00551674"/>
    <w:rsid w:val="0055247A"/>
    <w:rsid w:val="00553198"/>
    <w:rsid w:val="00553413"/>
    <w:rsid w:val="00553965"/>
    <w:rsid w:val="0055442A"/>
    <w:rsid w:val="005550B6"/>
    <w:rsid w:val="00561CB4"/>
    <w:rsid w:val="00561E9A"/>
    <w:rsid w:val="005630EF"/>
    <w:rsid w:val="00563D38"/>
    <w:rsid w:val="005660AF"/>
    <w:rsid w:val="00566A4C"/>
    <w:rsid w:val="005673CF"/>
    <w:rsid w:val="005705F4"/>
    <w:rsid w:val="005761DE"/>
    <w:rsid w:val="00577CE3"/>
    <w:rsid w:val="00580049"/>
    <w:rsid w:val="005804C3"/>
    <w:rsid w:val="005805A2"/>
    <w:rsid w:val="00581F4D"/>
    <w:rsid w:val="005862CD"/>
    <w:rsid w:val="00590910"/>
    <w:rsid w:val="00590BF4"/>
    <w:rsid w:val="0059198E"/>
    <w:rsid w:val="00591E3A"/>
    <w:rsid w:val="005925E3"/>
    <w:rsid w:val="005938A2"/>
    <w:rsid w:val="005943A6"/>
    <w:rsid w:val="00594E11"/>
    <w:rsid w:val="005952C7"/>
    <w:rsid w:val="005974D9"/>
    <w:rsid w:val="005A3782"/>
    <w:rsid w:val="005A5E5B"/>
    <w:rsid w:val="005A654E"/>
    <w:rsid w:val="005A7424"/>
    <w:rsid w:val="005B1B54"/>
    <w:rsid w:val="005B23FE"/>
    <w:rsid w:val="005C2F1D"/>
    <w:rsid w:val="005C347C"/>
    <w:rsid w:val="005C3EB3"/>
    <w:rsid w:val="005C52E7"/>
    <w:rsid w:val="005C639B"/>
    <w:rsid w:val="005C7D3B"/>
    <w:rsid w:val="005D45DE"/>
    <w:rsid w:val="005D50DE"/>
    <w:rsid w:val="005D5E84"/>
    <w:rsid w:val="005E12C9"/>
    <w:rsid w:val="005E2F55"/>
    <w:rsid w:val="005E31E3"/>
    <w:rsid w:val="005E6F0A"/>
    <w:rsid w:val="005F03FF"/>
    <w:rsid w:val="005F4F4E"/>
    <w:rsid w:val="005F5281"/>
    <w:rsid w:val="005F561D"/>
    <w:rsid w:val="005F6434"/>
    <w:rsid w:val="006004E9"/>
    <w:rsid w:val="006054E7"/>
    <w:rsid w:val="0060600E"/>
    <w:rsid w:val="0061000B"/>
    <w:rsid w:val="00612ACA"/>
    <w:rsid w:val="006244AD"/>
    <w:rsid w:val="00624D5D"/>
    <w:rsid w:val="00625016"/>
    <w:rsid w:val="00631568"/>
    <w:rsid w:val="00632CDD"/>
    <w:rsid w:val="00633DE2"/>
    <w:rsid w:val="00634278"/>
    <w:rsid w:val="006358C3"/>
    <w:rsid w:val="0064384B"/>
    <w:rsid w:val="00644788"/>
    <w:rsid w:val="00645A1B"/>
    <w:rsid w:val="00647878"/>
    <w:rsid w:val="00647BC0"/>
    <w:rsid w:val="00650297"/>
    <w:rsid w:val="0065393B"/>
    <w:rsid w:val="00653F40"/>
    <w:rsid w:val="006663E4"/>
    <w:rsid w:val="0066642F"/>
    <w:rsid w:val="006676CE"/>
    <w:rsid w:val="006679E5"/>
    <w:rsid w:val="006706F9"/>
    <w:rsid w:val="00671905"/>
    <w:rsid w:val="00674ACB"/>
    <w:rsid w:val="00677FA4"/>
    <w:rsid w:val="00683FDA"/>
    <w:rsid w:val="00685F82"/>
    <w:rsid w:val="00691919"/>
    <w:rsid w:val="00693171"/>
    <w:rsid w:val="00693391"/>
    <w:rsid w:val="006947B4"/>
    <w:rsid w:val="0069487A"/>
    <w:rsid w:val="006960E7"/>
    <w:rsid w:val="006A08A0"/>
    <w:rsid w:val="006A1430"/>
    <w:rsid w:val="006A2C12"/>
    <w:rsid w:val="006A42E4"/>
    <w:rsid w:val="006A644A"/>
    <w:rsid w:val="006A6AE3"/>
    <w:rsid w:val="006A6FE1"/>
    <w:rsid w:val="006A7B8D"/>
    <w:rsid w:val="006B22F3"/>
    <w:rsid w:val="006B4872"/>
    <w:rsid w:val="006B65EE"/>
    <w:rsid w:val="006B6883"/>
    <w:rsid w:val="006B69E1"/>
    <w:rsid w:val="006B705F"/>
    <w:rsid w:val="006C186F"/>
    <w:rsid w:val="006C25A0"/>
    <w:rsid w:val="006C30FF"/>
    <w:rsid w:val="006E1796"/>
    <w:rsid w:val="006E1A2D"/>
    <w:rsid w:val="006E25DB"/>
    <w:rsid w:val="006E2DC9"/>
    <w:rsid w:val="006E438E"/>
    <w:rsid w:val="006F290C"/>
    <w:rsid w:val="006F6993"/>
    <w:rsid w:val="006F7CB7"/>
    <w:rsid w:val="007024B1"/>
    <w:rsid w:val="00703F17"/>
    <w:rsid w:val="007044CE"/>
    <w:rsid w:val="00705529"/>
    <w:rsid w:val="00710634"/>
    <w:rsid w:val="00710724"/>
    <w:rsid w:val="00711C2D"/>
    <w:rsid w:val="007137FC"/>
    <w:rsid w:val="00714F41"/>
    <w:rsid w:val="00720218"/>
    <w:rsid w:val="00720ABF"/>
    <w:rsid w:val="00720C5C"/>
    <w:rsid w:val="00723271"/>
    <w:rsid w:val="00723637"/>
    <w:rsid w:val="00727D33"/>
    <w:rsid w:val="007308B0"/>
    <w:rsid w:val="00731752"/>
    <w:rsid w:val="00734228"/>
    <w:rsid w:val="00734E43"/>
    <w:rsid w:val="00735188"/>
    <w:rsid w:val="00735F49"/>
    <w:rsid w:val="00737793"/>
    <w:rsid w:val="00741A12"/>
    <w:rsid w:val="00747FB0"/>
    <w:rsid w:val="00750129"/>
    <w:rsid w:val="0075061A"/>
    <w:rsid w:val="007511E1"/>
    <w:rsid w:val="007539A7"/>
    <w:rsid w:val="0076448B"/>
    <w:rsid w:val="0076457A"/>
    <w:rsid w:val="00764E43"/>
    <w:rsid w:val="00764FF9"/>
    <w:rsid w:val="007712EF"/>
    <w:rsid w:val="0078282E"/>
    <w:rsid w:val="00784AD7"/>
    <w:rsid w:val="007879E9"/>
    <w:rsid w:val="00787D08"/>
    <w:rsid w:val="00791994"/>
    <w:rsid w:val="00791FCC"/>
    <w:rsid w:val="007A258E"/>
    <w:rsid w:val="007A3A46"/>
    <w:rsid w:val="007A42C1"/>
    <w:rsid w:val="007A4BFE"/>
    <w:rsid w:val="007A539D"/>
    <w:rsid w:val="007A53C1"/>
    <w:rsid w:val="007A69A5"/>
    <w:rsid w:val="007B0F07"/>
    <w:rsid w:val="007B44EC"/>
    <w:rsid w:val="007B4E8E"/>
    <w:rsid w:val="007B574B"/>
    <w:rsid w:val="007C0254"/>
    <w:rsid w:val="007C3755"/>
    <w:rsid w:val="007C5355"/>
    <w:rsid w:val="007D16C4"/>
    <w:rsid w:val="007D1947"/>
    <w:rsid w:val="007D28FB"/>
    <w:rsid w:val="007D2F5F"/>
    <w:rsid w:val="007D4E71"/>
    <w:rsid w:val="007D55AA"/>
    <w:rsid w:val="007D6090"/>
    <w:rsid w:val="007E0670"/>
    <w:rsid w:val="007E57BE"/>
    <w:rsid w:val="007E611B"/>
    <w:rsid w:val="007F20F4"/>
    <w:rsid w:val="007F329C"/>
    <w:rsid w:val="007F3F7A"/>
    <w:rsid w:val="00800703"/>
    <w:rsid w:val="00800935"/>
    <w:rsid w:val="00802098"/>
    <w:rsid w:val="00803AF3"/>
    <w:rsid w:val="00803D0B"/>
    <w:rsid w:val="00803E6B"/>
    <w:rsid w:val="00804192"/>
    <w:rsid w:val="00805C29"/>
    <w:rsid w:val="00807477"/>
    <w:rsid w:val="00815F60"/>
    <w:rsid w:val="0082035A"/>
    <w:rsid w:val="00822C6D"/>
    <w:rsid w:val="00823A55"/>
    <w:rsid w:val="00824316"/>
    <w:rsid w:val="00824CF1"/>
    <w:rsid w:val="00825415"/>
    <w:rsid w:val="008257C6"/>
    <w:rsid w:val="008264FE"/>
    <w:rsid w:val="00827355"/>
    <w:rsid w:val="00836873"/>
    <w:rsid w:val="008441C0"/>
    <w:rsid w:val="00845AA1"/>
    <w:rsid w:val="00852AC2"/>
    <w:rsid w:val="00853AFB"/>
    <w:rsid w:val="008561FB"/>
    <w:rsid w:val="00857986"/>
    <w:rsid w:val="008612E8"/>
    <w:rsid w:val="00861C61"/>
    <w:rsid w:val="00862A0D"/>
    <w:rsid w:val="0086306E"/>
    <w:rsid w:val="00863B22"/>
    <w:rsid w:val="00864970"/>
    <w:rsid w:val="008649E0"/>
    <w:rsid w:val="008671D6"/>
    <w:rsid w:val="00867AD5"/>
    <w:rsid w:val="00871547"/>
    <w:rsid w:val="00873371"/>
    <w:rsid w:val="00876EE4"/>
    <w:rsid w:val="008822C0"/>
    <w:rsid w:val="008871D5"/>
    <w:rsid w:val="00891385"/>
    <w:rsid w:val="008936EB"/>
    <w:rsid w:val="0089557F"/>
    <w:rsid w:val="008960F6"/>
    <w:rsid w:val="008977D7"/>
    <w:rsid w:val="008979E7"/>
    <w:rsid w:val="008A049C"/>
    <w:rsid w:val="008A1F07"/>
    <w:rsid w:val="008A3CAC"/>
    <w:rsid w:val="008A3EDB"/>
    <w:rsid w:val="008B1FEF"/>
    <w:rsid w:val="008B3DF4"/>
    <w:rsid w:val="008B5D44"/>
    <w:rsid w:val="008B795D"/>
    <w:rsid w:val="008C2E2E"/>
    <w:rsid w:val="008D1B23"/>
    <w:rsid w:val="008D3B14"/>
    <w:rsid w:val="008D6831"/>
    <w:rsid w:val="008D6A68"/>
    <w:rsid w:val="008E07A6"/>
    <w:rsid w:val="008E1CA9"/>
    <w:rsid w:val="008E1D21"/>
    <w:rsid w:val="008E626D"/>
    <w:rsid w:val="008E7975"/>
    <w:rsid w:val="008F60DF"/>
    <w:rsid w:val="008F647B"/>
    <w:rsid w:val="00903435"/>
    <w:rsid w:val="00903DD2"/>
    <w:rsid w:val="00905481"/>
    <w:rsid w:val="00906D39"/>
    <w:rsid w:val="00907FB7"/>
    <w:rsid w:val="00910C4D"/>
    <w:rsid w:val="0091387D"/>
    <w:rsid w:val="009155DE"/>
    <w:rsid w:val="0091594E"/>
    <w:rsid w:val="009177FB"/>
    <w:rsid w:val="00920B59"/>
    <w:rsid w:val="00925D50"/>
    <w:rsid w:val="00926425"/>
    <w:rsid w:val="0092649F"/>
    <w:rsid w:val="00926B6D"/>
    <w:rsid w:val="00926E2F"/>
    <w:rsid w:val="00930A18"/>
    <w:rsid w:val="00932251"/>
    <w:rsid w:val="00932513"/>
    <w:rsid w:val="00935440"/>
    <w:rsid w:val="00936508"/>
    <w:rsid w:val="00936BB0"/>
    <w:rsid w:val="00944834"/>
    <w:rsid w:val="00950A5A"/>
    <w:rsid w:val="00951E44"/>
    <w:rsid w:val="009528C2"/>
    <w:rsid w:val="00957F1F"/>
    <w:rsid w:val="00961439"/>
    <w:rsid w:val="00963709"/>
    <w:rsid w:val="00965892"/>
    <w:rsid w:val="009704CD"/>
    <w:rsid w:val="009730C1"/>
    <w:rsid w:val="00974934"/>
    <w:rsid w:val="00976E41"/>
    <w:rsid w:val="00982C67"/>
    <w:rsid w:val="0098460B"/>
    <w:rsid w:val="00986939"/>
    <w:rsid w:val="00986AD6"/>
    <w:rsid w:val="00990BA5"/>
    <w:rsid w:val="00995777"/>
    <w:rsid w:val="009A43DA"/>
    <w:rsid w:val="009B010B"/>
    <w:rsid w:val="009B3584"/>
    <w:rsid w:val="009B7A79"/>
    <w:rsid w:val="009C19B7"/>
    <w:rsid w:val="009C1C80"/>
    <w:rsid w:val="009C277F"/>
    <w:rsid w:val="009C27AB"/>
    <w:rsid w:val="009C4A69"/>
    <w:rsid w:val="009C5332"/>
    <w:rsid w:val="009C5B48"/>
    <w:rsid w:val="009C7579"/>
    <w:rsid w:val="009D271F"/>
    <w:rsid w:val="009D35BC"/>
    <w:rsid w:val="009D3FDE"/>
    <w:rsid w:val="009D5C98"/>
    <w:rsid w:val="009D5EA7"/>
    <w:rsid w:val="009D738E"/>
    <w:rsid w:val="009E1E67"/>
    <w:rsid w:val="009E2A63"/>
    <w:rsid w:val="009F02B2"/>
    <w:rsid w:val="009F5BDE"/>
    <w:rsid w:val="009F6990"/>
    <w:rsid w:val="009F7FC3"/>
    <w:rsid w:val="00A0056B"/>
    <w:rsid w:val="00A066BA"/>
    <w:rsid w:val="00A10A36"/>
    <w:rsid w:val="00A11944"/>
    <w:rsid w:val="00A1236E"/>
    <w:rsid w:val="00A131BD"/>
    <w:rsid w:val="00A1345D"/>
    <w:rsid w:val="00A1422C"/>
    <w:rsid w:val="00A155E5"/>
    <w:rsid w:val="00A1636F"/>
    <w:rsid w:val="00A16C8C"/>
    <w:rsid w:val="00A173C8"/>
    <w:rsid w:val="00A23B81"/>
    <w:rsid w:val="00A2405D"/>
    <w:rsid w:val="00A24F20"/>
    <w:rsid w:val="00A2634B"/>
    <w:rsid w:val="00A26A2F"/>
    <w:rsid w:val="00A279BF"/>
    <w:rsid w:val="00A27AAA"/>
    <w:rsid w:val="00A32493"/>
    <w:rsid w:val="00A336C9"/>
    <w:rsid w:val="00A347E7"/>
    <w:rsid w:val="00A368B0"/>
    <w:rsid w:val="00A36C3E"/>
    <w:rsid w:val="00A4277F"/>
    <w:rsid w:val="00A476EE"/>
    <w:rsid w:val="00A5491E"/>
    <w:rsid w:val="00A57333"/>
    <w:rsid w:val="00A60448"/>
    <w:rsid w:val="00A655B9"/>
    <w:rsid w:val="00A65FA4"/>
    <w:rsid w:val="00A71C55"/>
    <w:rsid w:val="00A73074"/>
    <w:rsid w:val="00A73CFB"/>
    <w:rsid w:val="00A7667E"/>
    <w:rsid w:val="00A82467"/>
    <w:rsid w:val="00A82E7B"/>
    <w:rsid w:val="00A869C7"/>
    <w:rsid w:val="00A86B87"/>
    <w:rsid w:val="00A90D03"/>
    <w:rsid w:val="00A9134B"/>
    <w:rsid w:val="00A94501"/>
    <w:rsid w:val="00A97FD6"/>
    <w:rsid w:val="00AA0EBD"/>
    <w:rsid w:val="00AA448B"/>
    <w:rsid w:val="00AA70F3"/>
    <w:rsid w:val="00AB17A7"/>
    <w:rsid w:val="00AB2B64"/>
    <w:rsid w:val="00AB426B"/>
    <w:rsid w:val="00AB7BFF"/>
    <w:rsid w:val="00AC1946"/>
    <w:rsid w:val="00AC2982"/>
    <w:rsid w:val="00AC318D"/>
    <w:rsid w:val="00AC3F70"/>
    <w:rsid w:val="00AC4344"/>
    <w:rsid w:val="00AC68B1"/>
    <w:rsid w:val="00AC705C"/>
    <w:rsid w:val="00AD045C"/>
    <w:rsid w:val="00AD113D"/>
    <w:rsid w:val="00AD13A2"/>
    <w:rsid w:val="00AD1D10"/>
    <w:rsid w:val="00AD579A"/>
    <w:rsid w:val="00AE24D4"/>
    <w:rsid w:val="00AE32E5"/>
    <w:rsid w:val="00AF052C"/>
    <w:rsid w:val="00AF3B6F"/>
    <w:rsid w:val="00AF4A5A"/>
    <w:rsid w:val="00AF6C2A"/>
    <w:rsid w:val="00AF7E2B"/>
    <w:rsid w:val="00B00455"/>
    <w:rsid w:val="00B049F3"/>
    <w:rsid w:val="00B05661"/>
    <w:rsid w:val="00B0736C"/>
    <w:rsid w:val="00B07F68"/>
    <w:rsid w:val="00B105A6"/>
    <w:rsid w:val="00B12CB4"/>
    <w:rsid w:val="00B13202"/>
    <w:rsid w:val="00B13862"/>
    <w:rsid w:val="00B17569"/>
    <w:rsid w:val="00B20A4C"/>
    <w:rsid w:val="00B2204D"/>
    <w:rsid w:val="00B235BF"/>
    <w:rsid w:val="00B24164"/>
    <w:rsid w:val="00B2772F"/>
    <w:rsid w:val="00B31EFC"/>
    <w:rsid w:val="00B31F09"/>
    <w:rsid w:val="00B3258D"/>
    <w:rsid w:val="00B33176"/>
    <w:rsid w:val="00B41E67"/>
    <w:rsid w:val="00B425B3"/>
    <w:rsid w:val="00B44A81"/>
    <w:rsid w:val="00B50C9D"/>
    <w:rsid w:val="00B51FEA"/>
    <w:rsid w:val="00B56F94"/>
    <w:rsid w:val="00B603CB"/>
    <w:rsid w:val="00B6248D"/>
    <w:rsid w:val="00B64678"/>
    <w:rsid w:val="00B71960"/>
    <w:rsid w:val="00B71FB5"/>
    <w:rsid w:val="00B72423"/>
    <w:rsid w:val="00B72F87"/>
    <w:rsid w:val="00B7347A"/>
    <w:rsid w:val="00B73967"/>
    <w:rsid w:val="00B74F4C"/>
    <w:rsid w:val="00B7525D"/>
    <w:rsid w:val="00B84BB8"/>
    <w:rsid w:val="00B87242"/>
    <w:rsid w:val="00B939B1"/>
    <w:rsid w:val="00B95E43"/>
    <w:rsid w:val="00B97810"/>
    <w:rsid w:val="00BA1D31"/>
    <w:rsid w:val="00BA2B3E"/>
    <w:rsid w:val="00BA3D4F"/>
    <w:rsid w:val="00BA41DF"/>
    <w:rsid w:val="00BA4466"/>
    <w:rsid w:val="00BB1E2D"/>
    <w:rsid w:val="00BB27B7"/>
    <w:rsid w:val="00BB4FB5"/>
    <w:rsid w:val="00BB6202"/>
    <w:rsid w:val="00BC1C2B"/>
    <w:rsid w:val="00BC1E8A"/>
    <w:rsid w:val="00BC20AE"/>
    <w:rsid w:val="00BC3080"/>
    <w:rsid w:val="00BC3533"/>
    <w:rsid w:val="00BC376A"/>
    <w:rsid w:val="00BD0696"/>
    <w:rsid w:val="00BE2EA5"/>
    <w:rsid w:val="00BE596D"/>
    <w:rsid w:val="00BF5673"/>
    <w:rsid w:val="00BF5F43"/>
    <w:rsid w:val="00BF6606"/>
    <w:rsid w:val="00C00537"/>
    <w:rsid w:val="00C02820"/>
    <w:rsid w:val="00C035D5"/>
    <w:rsid w:val="00C117C1"/>
    <w:rsid w:val="00C12F05"/>
    <w:rsid w:val="00C153A1"/>
    <w:rsid w:val="00C157D4"/>
    <w:rsid w:val="00C1778E"/>
    <w:rsid w:val="00C177F6"/>
    <w:rsid w:val="00C17922"/>
    <w:rsid w:val="00C20A0C"/>
    <w:rsid w:val="00C21703"/>
    <w:rsid w:val="00C23014"/>
    <w:rsid w:val="00C252AB"/>
    <w:rsid w:val="00C252B8"/>
    <w:rsid w:val="00C27EA9"/>
    <w:rsid w:val="00C33131"/>
    <w:rsid w:val="00C34E9B"/>
    <w:rsid w:val="00C370E9"/>
    <w:rsid w:val="00C43870"/>
    <w:rsid w:val="00C44A57"/>
    <w:rsid w:val="00C46715"/>
    <w:rsid w:val="00C52954"/>
    <w:rsid w:val="00C574AF"/>
    <w:rsid w:val="00C57D34"/>
    <w:rsid w:val="00C60F72"/>
    <w:rsid w:val="00C61365"/>
    <w:rsid w:val="00C624CB"/>
    <w:rsid w:val="00C63FFA"/>
    <w:rsid w:val="00C648F3"/>
    <w:rsid w:val="00C66787"/>
    <w:rsid w:val="00C67A2B"/>
    <w:rsid w:val="00C7656D"/>
    <w:rsid w:val="00C80016"/>
    <w:rsid w:val="00C80BEC"/>
    <w:rsid w:val="00C83B16"/>
    <w:rsid w:val="00C84092"/>
    <w:rsid w:val="00C872FC"/>
    <w:rsid w:val="00C93F66"/>
    <w:rsid w:val="00C956AF"/>
    <w:rsid w:val="00C9658A"/>
    <w:rsid w:val="00C9729F"/>
    <w:rsid w:val="00CA06CD"/>
    <w:rsid w:val="00CA070F"/>
    <w:rsid w:val="00CA09AA"/>
    <w:rsid w:val="00CA1DCB"/>
    <w:rsid w:val="00CA1FDC"/>
    <w:rsid w:val="00CA42CB"/>
    <w:rsid w:val="00CB324F"/>
    <w:rsid w:val="00CB44F5"/>
    <w:rsid w:val="00CB575C"/>
    <w:rsid w:val="00CB5868"/>
    <w:rsid w:val="00CB6226"/>
    <w:rsid w:val="00CB65CF"/>
    <w:rsid w:val="00CB69B9"/>
    <w:rsid w:val="00CB6D72"/>
    <w:rsid w:val="00CC13B0"/>
    <w:rsid w:val="00CC1BD4"/>
    <w:rsid w:val="00CC3FB1"/>
    <w:rsid w:val="00CE181D"/>
    <w:rsid w:val="00CE62E0"/>
    <w:rsid w:val="00CE76E3"/>
    <w:rsid w:val="00CF0EBA"/>
    <w:rsid w:val="00CF3966"/>
    <w:rsid w:val="00CF57AE"/>
    <w:rsid w:val="00CF6AF7"/>
    <w:rsid w:val="00D002D2"/>
    <w:rsid w:val="00D017FE"/>
    <w:rsid w:val="00D01F7B"/>
    <w:rsid w:val="00D03753"/>
    <w:rsid w:val="00D039A3"/>
    <w:rsid w:val="00D0688A"/>
    <w:rsid w:val="00D12021"/>
    <w:rsid w:val="00D17200"/>
    <w:rsid w:val="00D20682"/>
    <w:rsid w:val="00D20C7F"/>
    <w:rsid w:val="00D22D03"/>
    <w:rsid w:val="00D242F3"/>
    <w:rsid w:val="00D25161"/>
    <w:rsid w:val="00D324DE"/>
    <w:rsid w:val="00D32659"/>
    <w:rsid w:val="00D3607F"/>
    <w:rsid w:val="00D44D63"/>
    <w:rsid w:val="00D502B9"/>
    <w:rsid w:val="00D5532B"/>
    <w:rsid w:val="00D6094B"/>
    <w:rsid w:val="00D60D4C"/>
    <w:rsid w:val="00D64FEF"/>
    <w:rsid w:val="00D65975"/>
    <w:rsid w:val="00D65CCF"/>
    <w:rsid w:val="00D6653B"/>
    <w:rsid w:val="00D6767B"/>
    <w:rsid w:val="00D71F63"/>
    <w:rsid w:val="00D73461"/>
    <w:rsid w:val="00D736E4"/>
    <w:rsid w:val="00D74423"/>
    <w:rsid w:val="00D7764A"/>
    <w:rsid w:val="00D776F4"/>
    <w:rsid w:val="00D7793A"/>
    <w:rsid w:val="00D80E36"/>
    <w:rsid w:val="00D81266"/>
    <w:rsid w:val="00D818B8"/>
    <w:rsid w:val="00D90A35"/>
    <w:rsid w:val="00D947BA"/>
    <w:rsid w:val="00D95779"/>
    <w:rsid w:val="00D97E3B"/>
    <w:rsid w:val="00DA2281"/>
    <w:rsid w:val="00DA4DA4"/>
    <w:rsid w:val="00DB045A"/>
    <w:rsid w:val="00DB23E2"/>
    <w:rsid w:val="00DB57F6"/>
    <w:rsid w:val="00DC4736"/>
    <w:rsid w:val="00DC51BF"/>
    <w:rsid w:val="00DD0E7E"/>
    <w:rsid w:val="00DD1B7B"/>
    <w:rsid w:val="00DD1F33"/>
    <w:rsid w:val="00DD3169"/>
    <w:rsid w:val="00DD447E"/>
    <w:rsid w:val="00DD7838"/>
    <w:rsid w:val="00DE0C08"/>
    <w:rsid w:val="00DE1308"/>
    <w:rsid w:val="00DE39A2"/>
    <w:rsid w:val="00DE6E21"/>
    <w:rsid w:val="00DF5E9B"/>
    <w:rsid w:val="00DF6514"/>
    <w:rsid w:val="00DF7D4C"/>
    <w:rsid w:val="00E00A75"/>
    <w:rsid w:val="00E0101C"/>
    <w:rsid w:val="00E03541"/>
    <w:rsid w:val="00E04692"/>
    <w:rsid w:val="00E06AB8"/>
    <w:rsid w:val="00E06B91"/>
    <w:rsid w:val="00E07034"/>
    <w:rsid w:val="00E07DA1"/>
    <w:rsid w:val="00E12DCC"/>
    <w:rsid w:val="00E13476"/>
    <w:rsid w:val="00E146FE"/>
    <w:rsid w:val="00E1689F"/>
    <w:rsid w:val="00E17069"/>
    <w:rsid w:val="00E2143B"/>
    <w:rsid w:val="00E22A5F"/>
    <w:rsid w:val="00E253C1"/>
    <w:rsid w:val="00E25ECF"/>
    <w:rsid w:val="00E26301"/>
    <w:rsid w:val="00E2778C"/>
    <w:rsid w:val="00E3123B"/>
    <w:rsid w:val="00E312B8"/>
    <w:rsid w:val="00E3137C"/>
    <w:rsid w:val="00E31DAF"/>
    <w:rsid w:val="00E32D4A"/>
    <w:rsid w:val="00E33E13"/>
    <w:rsid w:val="00E36A84"/>
    <w:rsid w:val="00E40445"/>
    <w:rsid w:val="00E412E5"/>
    <w:rsid w:val="00E4234C"/>
    <w:rsid w:val="00E42B7E"/>
    <w:rsid w:val="00E47249"/>
    <w:rsid w:val="00E54313"/>
    <w:rsid w:val="00E55C23"/>
    <w:rsid w:val="00E5718F"/>
    <w:rsid w:val="00E57CA7"/>
    <w:rsid w:val="00E61713"/>
    <w:rsid w:val="00E643E1"/>
    <w:rsid w:val="00E65EFC"/>
    <w:rsid w:val="00E66FA1"/>
    <w:rsid w:val="00E70398"/>
    <w:rsid w:val="00E73092"/>
    <w:rsid w:val="00E73716"/>
    <w:rsid w:val="00E74166"/>
    <w:rsid w:val="00E7451A"/>
    <w:rsid w:val="00E81071"/>
    <w:rsid w:val="00E81E37"/>
    <w:rsid w:val="00E85F95"/>
    <w:rsid w:val="00E9493D"/>
    <w:rsid w:val="00E94A92"/>
    <w:rsid w:val="00E96399"/>
    <w:rsid w:val="00EA0545"/>
    <w:rsid w:val="00EA4FD9"/>
    <w:rsid w:val="00EB0867"/>
    <w:rsid w:val="00EC0789"/>
    <w:rsid w:val="00EC0AE2"/>
    <w:rsid w:val="00EC45BE"/>
    <w:rsid w:val="00EC4DBC"/>
    <w:rsid w:val="00EC5A48"/>
    <w:rsid w:val="00EC685B"/>
    <w:rsid w:val="00ED05FD"/>
    <w:rsid w:val="00ED3300"/>
    <w:rsid w:val="00ED46A7"/>
    <w:rsid w:val="00ED512F"/>
    <w:rsid w:val="00ED6B49"/>
    <w:rsid w:val="00EE06E0"/>
    <w:rsid w:val="00EE31A2"/>
    <w:rsid w:val="00EE490B"/>
    <w:rsid w:val="00EE767A"/>
    <w:rsid w:val="00EF5EA0"/>
    <w:rsid w:val="00F006D5"/>
    <w:rsid w:val="00F00DAF"/>
    <w:rsid w:val="00F05789"/>
    <w:rsid w:val="00F05B82"/>
    <w:rsid w:val="00F065C2"/>
    <w:rsid w:val="00F11B86"/>
    <w:rsid w:val="00F13CF1"/>
    <w:rsid w:val="00F17365"/>
    <w:rsid w:val="00F21009"/>
    <w:rsid w:val="00F24191"/>
    <w:rsid w:val="00F2511F"/>
    <w:rsid w:val="00F324F3"/>
    <w:rsid w:val="00F3426C"/>
    <w:rsid w:val="00F36178"/>
    <w:rsid w:val="00F371CE"/>
    <w:rsid w:val="00F37349"/>
    <w:rsid w:val="00F378DC"/>
    <w:rsid w:val="00F4207C"/>
    <w:rsid w:val="00F42366"/>
    <w:rsid w:val="00F47E12"/>
    <w:rsid w:val="00F505BA"/>
    <w:rsid w:val="00F507B2"/>
    <w:rsid w:val="00F5143F"/>
    <w:rsid w:val="00F54092"/>
    <w:rsid w:val="00F54554"/>
    <w:rsid w:val="00F55A5D"/>
    <w:rsid w:val="00F5605D"/>
    <w:rsid w:val="00F57130"/>
    <w:rsid w:val="00F6035B"/>
    <w:rsid w:val="00F61859"/>
    <w:rsid w:val="00F63848"/>
    <w:rsid w:val="00F66004"/>
    <w:rsid w:val="00F661B4"/>
    <w:rsid w:val="00F71655"/>
    <w:rsid w:val="00F71E0C"/>
    <w:rsid w:val="00F745C8"/>
    <w:rsid w:val="00F75F9B"/>
    <w:rsid w:val="00F76600"/>
    <w:rsid w:val="00F808F0"/>
    <w:rsid w:val="00F8090B"/>
    <w:rsid w:val="00F80CC2"/>
    <w:rsid w:val="00F82C09"/>
    <w:rsid w:val="00F84640"/>
    <w:rsid w:val="00F85968"/>
    <w:rsid w:val="00F912DA"/>
    <w:rsid w:val="00F93EBC"/>
    <w:rsid w:val="00F93F67"/>
    <w:rsid w:val="00F9517B"/>
    <w:rsid w:val="00F95E7A"/>
    <w:rsid w:val="00F9616A"/>
    <w:rsid w:val="00F9645B"/>
    <w:rsid w:val="00F96655"/>
    <w:rsid w:val="00FA1648"/>
    <w:rsid w:val="00FA1691"/>
    <w:rsid w:val="00FA398C"/>
    <w:rsid w:val="00FA456F"/>
    <w:rsid w:val="00FA4C8C"/>
    <w:rsid w:val="00FB2415"/>
    <w:rsid w:val="00FB732E"/>
    <w:rsid w:val="00FB751B"/>
    <w:rsid w:val="00FB799E"/>
    <w:rsid w:val="00FB7E43"/>
    <w:rsid w:val="00FC06C0"/>
    <w:rsid w:val="00FC0716"/>
    <w:rsid w:val="00FC18E7"/>
    <w:rsid w:val="00FC3B37"/>
    <w:rsid w:val="00FC40E8"/>
    <w:rsid w:val="00FC5459"/>
    <w:rsid w:val="00FC5B0B"/>
    <w:rsid w:val="00FC6785"/>
    <w:rsid w:val="00FD035A"/>
    <w:rsid w:val="00FD0526"/>
    <w:rsid w:val="00FD0AB4"/>
    <w:rsid w:val="00FD2A41"/>
    <w:rsid w:val="00FD44FE"/>
    <w:rsid w:val="00FD5BD8"/>
    <w:rsid w:val="00FE00FC"/>
    <w:rsid w:val="00FE5B12"/>
    <w:rsid w:val="00FE639B"/>
    <w:rsid w:val="00FF118D"/>
    <w:rsid w:val="00FF1894"/>
    <w:rsid w:val="00FF284A"/>
    <w:rsid w:val="00FF6C63"/>
    <w:rsid w:val="38E3A413"/>
    <w:rsid w:val="4FD77DAF"/>
    <w:rsid w:val="7BFAEDC1"/>
    <w:rsid w:val="7D5F3B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07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A7307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A73074"/>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rsid w:val="00A73074"/>
    <w:pPr>
      <w:keepNext/>
      <w:keepLines/>
      <w:spacing w:before="260" w:after="260" w:line="360" w:lineRule="auto"/>
      <w:ind w:left="1004" w:hanging="720"/>
      <w:outlineLvl w:val="2"/>
    </w:pPr>
    <w:rPr>
      <w:rFonts w:ascii="Calibri" w:eastAsia="宋体" w:hAnsi="Calibri" w:cs="Times New Roman"/>
      <w:b/>
      <w:bCs/>
      <w:kern w:val="0"/>
      <w:sz w:val="24"/>
      <w:szCs w:val="32"/>
    </w:rPr>
  </w:style>
  <w:style w:type="paragraph" w:styleId="4">
    <w:name w:val="heading 4"/>
    <w:basedOn w:val="a"/>
    <w:next w:val="a"/>
    <w:link w:val="4Char"/>
    <w:uiPriority w:val="9"/>
    <w:unhideWhenUsed/>
    <w:qFormat/>
    <w:rsid w:val="00A73074"/>
    <w:pPr>
      <w:keepNext/>
      <w:keepLines/>
      <w:spacing w:before="280" w:after="290" w:line="376" w:lineRule="auto"/>
      <w:ind w:left="1317" w:hanging="864"/>
      <w:outlineLvl w:val="3"/>
    </w:pPr>
    <w:rPr>
      <w:rFonts w:ascii="Cambria" w:eastAsia="宋体" w:hAnsi="Cambria" w:cs="Times New Roman"/>
      <w:b/>
      <w:bCs/>
      <w:kern w:val="0"/>
      <w:sz w:val="28"/>
      <w:szCs w:val="28"/>
    </w:rPr>
  </w:style>
  <w:style w:type="paragraph" w:styleId="5">
    <w:name w:val="heading 5"/>
    <w:basedOn w:val="a"/>
    <w:next w:val="a"/>
    <w:link w:val="5Char"/>
    <w:uiPriority w:val="9"/>
    <w:unhideWhenUsed/>
    <w:qFormat/>
    <w:rsid w:val="00A73074"/>
    <w:pPr>
      <w:keepNext/>
      <w:keepLines/>
      <w:spacing w:before="280" w:after="290" w:line="376" w:lineRule="auto"/>
      <w:ind w:left="1461" w:hanging="1008"/>
      <w:outlineLvl w:val="4"/>
    </w:pPr>
    <w:rPr>
      <w:rFonts w:ascii="Calibri" w:eastAsia="宋体" w:hAnsi="Calibri" w:cs="Times New Roman"/>
      <w:b/>
      <w:bCs/>
      <w:kern w:val="0"/>
      <w:sz w:val="28"/>
      <w:szCs w:val="28"/>
    </w:rPr>
  </w:style>
  <w:style w:type="paragraph" w:styleId="6">
    <w:name w:val="heading 6"/>
    <w:basedOn w:val="a"/>
    <w:next w:val="a"/>
    <w:link w:val="6Char"/>
    <w:uiPriority w:val="9"/>
    <w:unhideWhenUsed/>
    <w:qFormat/>
    <w:rsid w:val="00A73074"/>
    <w:pPr>
      <w:keepNext/>
      <w:keepLines/>
      <w:spacing w:before="240" w:after="64" w:line="320" w:lineRule="auto"/>
      <w:ind w:left="1605" w:hanging="1152"/>
      <w:outlineLvl w:val="5"/>
    </w:pPr>
    <w:rPr>
      <w:rFonts w:ascii="Cambria" w:eastAsia="宋体" w:hAnsi="Cambria" w:cs="Times New Roman"/>
      <w:b/>
      <w:bCs/>
      <w:kern w:val="0"/>
      <w:sz w:val="24"/>
      <w:szCs w:val="24"/>
    </w:rPr>
  </w:style>
  <w:style w:type="paragraph" w:styleId="7">
    <w:name w:val="heading 7"/>
    <w:basedOn w:val="a"/>
    <w:next w:val="a"/>
    <w:link w:val="7Char"/>
    <w:uiPriority w:val="9"/>
    <w:unhideWhenUsed/>
    <w:qFormat/>
    <w:rsid w:val="00A73074"/>
    <w:pPr>
      <w:keepNext/>
      <w:keepLines/>
      <w:spacing w:before="240" w:after="64" w:line="320" w:lineRule="auto"/>
      <w:ind w:left="1749" w:hanging="1296"/>
      <w:outlineLvl w:val="6"/>
    </w:pPr>
    <w:rPr>
      <w:rFonts w:ascii="Calibri" w:eastAsia="宋体" w:hAnsi="Calibri" w:cs="Times New Roman"/>
      <w:b/>
      <w:bCs/>
      <w:kern w:val="0"/>
      <w:sz w:val="24"/>
      <w:szCs w:val="24"/>
    </w:rPr>
  </w:style>
  <w:style w:type="paragraph" w:styleId="8">
    <w:name w:val="heading 8"/>
    <w:basedOn w:val="a"/>
    <w:next w:val="a"/>
    <w:link w:val="8Char"/>
    <w:uiPriority w:val="9"/>
    <w:unhideWhenUsed/>
    <w:qFormat/>
    <w:rsid w:val="00A73074"/>
    <w:pPr>
      <w:keepNext/>
      <w:keepLines/>
      <w:spacing w:before="240" w:after="64" w:line="320" w:lineRule="auto"/>
      <w:ind w:left="1893" w:hanging="1440"/>
      <w:outlineLvl w:val="7"/>
    </w:pPr>
    <w:rPr>
      <w:rFonts w:ascii="Cambria" w:eastAsia="宋体" w:hAnsi="Cambria" w:cs="Times New Roman"/>
      <w:kern w:val="0"/>
      <w:sz w:val="24"/>
      <w:szCs w:val="24"/>
    </w:rPr>
  </w:style>
  <w:style w:type="paragraph" w:styleId="9">
    <w:name w:val="heading 9"/>
    <w:basedOn w:val="a"/>
    <w:next w:val="a"/>
    <w:link w:val="9Char"/>
    <w:uiPriority w:val="9"/>
    <w:unhideWhenUsed/>
    <w:qFormat/>
    <w:rsid w:val="00A73074"/>
    <w:pPr>
      <w:keepNext/>
      <w:keepLines/>
      <w:spacing w:before="240" w:after="64" w:line="320" w:lineRule="auto"/>
      <w:ind w:left="2037" w:hanging="1584"/>
      <w:outlineLvl w:val="8"/>
    </w:pPr>
    <w:rPr>
      <w:rFonts w:ascii="Cambria" w:eastAsia="宋体" w:hAnsi="Cambria" w:cs="Times New Roman"/>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rsid w:val="00A73074"/>
    <w:pPr>
      <w:ind w:leftChars="400" w:left="840"/>
    </w:pPr>
  </w:style>
  <w:style w:type="paragraph" w:styleId="a3">
    <w:name w:val="Plain Text"/>
    <w:basedOn w:val="a"/>
    <w:link w:val="Char"/>
    <w:qFormat/>
    <w:rsid w:val="00A73074"/>
    <w:pPr>
      <w:spacing w:line="240" w:lineRule="atLeast"/>
    </w:pPr>
    <w:rPr>
      <w:rFonts w:ascii="宋体" w:eastAsia="宋体" w:hAnsi="Courier New" w:cs="Century" w:hint="eastAsia"/>
      <w:szCs w:val="21"/>
    </w:rPr>
  </w:style>
  <w:style w:type="paragraph" w:styleId="a4">
    <w:name w:val="Date"/>
    <w:basedOn w:val="a"/>
    <w:next w:val="a"/>
    <w:link w:val="Char0"/>
    <w:uiPriority w:val="99"/>
    <w:semiHidden/>
    <w:unhideWhenUsed/>
    <w:qFormat/>
    <w:rsid w:val="00A73074"/>
    <w:pPr>
      <w:ind w:leftChars="2500" w:left="100"/>
    </w:pPr>
  </w:style>
  <w:style w:type="paragraph" w:styleId="a5">
    <w:name w:val="Balloon Text"/>
    <w:basedOn w:val="a"/>
    <w:link w:val="Char1"/>
    <w:uiPriority w:val="99"/>
    <w:semiHidden/>
    <w:unhideWhenUsed/>
    <w:qFormat/>
    <w:rsid w:val="00A73074"/>
    <w:rPr>
      <w:sz w:val="18"/>
      <w:szCs w:val="18"/>
    </w:rPr>
  </w:style>
  <w:style w:type="paragraph" w:styleId="a6">
    <w:name w:val="footer"/>
    <w:basedOn w:val="a"/>
    <w:link w:val="Char2"/>
    <w:uiPriority w:val="99"/>
    <w:unhideWhenUsed/>
    <w:qFormat/>
    <w:rsid w:val="00A73074"/>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A7307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A73074"/>
  </w:style>
  <w:style w:type="paragraph" w:styleId="20">
    <w:name w:val="toc 2"/>
    <w:basedOn w:val="a"/>
    <w:next w:val="a"/>
    <w:uiPriority w:val="39"/>
    <w:unhideWhenUsed/>
    <w:qFormat/>
    <w:rsid w:val="00A73074"/>
    <w:pPr>
      <w:ind w:leftChars="200" w:left="420"/>
    </w:pPr>
  </w:style>
  <w:style w:type="paragraph" w:styleId="a8">
    <w:name w:val="Normal (Web)"/>
    <w:basedOn w:val="a"/>
    <w:uiPriority w:val="99"/>
    <w:unhideWhenUsed/>
    <w:qFormat/>
    <w:rsid w:val="00A73074"/>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39"/>
    <w:qFormat/>
    <w:rsid w:val="00A730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A73074"/>
    <w:rPr>
      <w:b/>
      <w:bCs/>
    </w:rPr>
  </w:style>
  <w:style w:type="character" w:styleId="ab">
    <w:name w:val="Hyperlink"/>
    <w:basedOn w:val="a0"/>
    <w:uiPriority w:val="99"/>
    <w:unhideWhenUsed/>
    <w:qFormat/>
    <w:rsid w:val="00A73074"/>
    <w:rPr>
      <w:color w:val="0563C1" w:themeColor="hyperlink"/>
      <w:u w:val="single"/>
    </w:rPr>
  </w:style>
  <w:style w:type="character" w:customStyle="1" w:styleId="Char3">
    <w:name w:val="页眉 Char"/>
    <w:basedOn w:val="a0"/>
    <w:link w:val="a7"/>
    <w:uiPriority w:val="99"/>
    <w:qFormat/>
    <w:rsid w:val="00A73074"/>
    <w:rPr>
      <w:sz w:val="18"/>
      <w:szCs w:val="18"/>
    </w:rPr>
  </w:style>
  <w:style w:type="character" w:customStyle="1" w:styleId="Char2">
    <w:name w:val="页脚 Char"/>
    <w:basedOn w:val="a0"/>
    <w:link w:val="a6"/>
    <w:uiPriority w:val="99"/>
    <w:qFormat/>
    <w:rsid w:val="00A73074"/>
    <w:rPr>
      <w:sz w:val="18"/>
      <w:szCs w:val="18"/>
    </w:rPr>
  </w:style>
  <w:style w:type="character" w:customStyle="1" w:styleId="21">
    <w:name w:val="标题 2 字符"/>
    <w:basedOn w:val="a0"/>
    <w:uiPriority w:val="9"/>
    <w:semiHidden/>
    <w:qFormat/>
    <w:rsid w:val="00A73074"/>
    <w:rPr>
      <w:rFonts w:asciiTheme="majorHAnsi" w:eastAsiaTheme="majorEastAsia" w:hAnsiTheme="majorHAnsi" w:cstheme="majorBidi"/>
      <w:b/>
      <w:bCs/>
      <w:sz w:val="32"/>
      <w:szCs w:val="32"/>
    </w:rPr>
  </w:style>
  <w:style w:type="character" w:customStyle="1" w:styleId="2Char">
    <w:name w:val="标题 2 Char"/>
    <w:link w:val="2"/>
    <w:qFormat/>
    <w:rsid w:val="00A73074"/>
    <w:rPr>
      <w:rFonts w:ascii="Arial" w:eastAsia="黑体" w:hAnsi="Arial" w:cs="Times New Roman"/>
      <w:b/>
      <w:bCs/>
      <w:sz w:val="32"/>
      <w:szCs w:val="32"/>
    </w:rPr>
  </w:style>
  <w:style w:type="character" w:customStyle="1" w:styleId="Char4">
    <w:name w:val="首缩 Char"/>
    <w:link w:val="ac"/>
    <w:qFormat/>
    <w:rsid w:val="00A73074"/>
    <w:rPr>
      <w:rFonts w:ascii="宋体" w:hAnsi="宋体"/>
      <w:sz w:val="24"/>
    </w:rPr>
  </w:style>
  <w:style w:type="paragraph" w:customStyle="1" w:styleId="ac">
    <w:name w:val="首缩"/>
    <w:basedOn w:val="a"/>
    <w:link w:val="Char4"/>
    <w:qFormat/>
    <w:rsid w:val="00A73074"/>
    <w:pPr>
      <w:tabs>
        <w:tab w:val="left" w:pos="540"/>
      </w:tabs>
      <w:autoSpaceDE w:val="0"/>
      <w:autoSpaceDN w:val="0"/>
      <w:adjustRightInd w:val="0"/>
      <w:spacing w:line="360" w:lineRule="auto"/>
      <w:ind w:firstLine="482"/>
      <w:jc w:val="left"/>
      <w:textAlignment w:val="baseline"/>
    </w:pPr>
    <w:rPr>
      <w:rFonts w:ascii="宋体" w:hAnsi="宋体"/>
      <w:sz w:val="24"/>
    </w:rPr>
  </w:style>
  <w:style w:type="paragraph" w:styleId="ad">
    <w:name w:val="List Paragraph"/>
    <w:basedOn w:val="a"/>
    <w:uiPriority w:val="34"/>
    <w:qFormat/>
    <w:rsid w:val="00A73074"/>
    <w:pPr>
      <w:ind w:firstLineChars="200" w:firstLine="420"/>
    </w:pPr>
  </w:style>
  <w:style w:type="character" w:customStyle="1" w:styleId="1Char">
    <w:name w:val="标题 1 Char"/>
    <w:basedOn w:val="a0"/>
    <w:link w:val="1"/>
    <w:qFormat/>
    <w:rsid w:val="00A73074"/>
    <w:rPr>
      <w:rFonts w:ascii="Times New Roman" w:eastAsia="宋体" w:hAnsi="Times New Roman" w:cs="Times New Roman"/>
      <w:b/>
      <w:bCs/>
      <w:kern w:val="44"/>
      <w:sz w:val="44"/>
      <w:szCs w:val="44"/>
    </w:rPr>
  </w:style>
  <w:style w:type="character" w:customStyle="1" w:styleId="Char">
    <w:name w:val="纯文本 Char"/>
    <w:link w:val="a3"/>
    <w:qFormat/>
    <w:rsid w:val="00A73074"/>
    <w:rPr>
      <w:rFonts w:ascii="宋体" w:eastAsia="宋体" w:hAnsi="Courier New" w:cs="Century"/>
      <w:szCs w:val="21"/>
    </w:rPr>
  </w:style>
  <w:style w:type="character" w:customStyle="1" w:styleId="ae">
    <w:name w:val="纯文本 字符"/>
    <w:basedOn w:val="a0"/>
    <w:uiPriority w:val="99"/>
    <w:semiHidden/>
    <w:qFormat/>
    <w:rsid w:val="00A73074"/>
    <w:rPr>
      <w:rFonts w:asciiTheme="minorEastAsia" w:hAnsi="Courier New" w:cs="Courier New"/>
    </w:rPr>
  </w:style>
  <w:style w:type="character" w:customStyle="1" w:styleId="3Char">
    <w:name w:val="标题 3 Char"/>
    <w:basedOn w:val="a0"/>
    <w:link w:val="3"/>
    <w:uiPriority w:val="9"/>
    <w:qFormat/>
    <w:rsid w:val="00A73074"/>
    <w:rPr>
      <w:rFonts w:ascii="Calibri" w:eastAsia="宋体" w:hAnsi="Calibri" w:cs="Times New Roman"/>
      <w:b/>
      <w:bCs/>
      <w:kern w:val="0"/>
      <w:sz w:val="24"/>
      <w:szCs w:val="32"/>
    </w:rPr>
  </w:style>
  <w:style w:type="character" w:customStyle="1" w:styleId="4Char">
    <w:name w:val="标题 4 Char"/>
    <w:basedOn w:val="a0"/>
    <w:link w:val="4"/>
    <w:uiPriority w:val="9"/>
    <w:qFormat/>
    <w:rsid w:val="00A73074"/>
    <w:rPr>
      <w:rFonts w:ascii="Cambria" w:eastAsia="宋体" w:hAnsi="Cambria" w:cs="Times New Roman"/>
      <w:b/>
      <w:bCs/>
      <w:kern w:val="0"/>
      <w:sz w:val="28"/>
      <w:szCs w:val="28"/>
    </w:rPr>
  </w:style>
  <w:style w:type="character" w:customStyle="1" w:styleId="5Char">
    <w:name w:val="标题 5 Char"/>
    <w:basedOn w:val="a0"/>
    <w:link w:val="5"/>
    <w:uiPriority w:val="9"/>
    <w:qFormat/>
    <w:rsid w:val="00A73074"/>
    <w:rPr>
      <w:rFonts w:ascii="Calibri" w:eastAsia="宋体" w:hAnsi="Calibri" w:cs="Times New Roman"/>
      <w:b/>
      <w:bCs/>
      <w:kern w:val="0"/>
      <w:sz w:val="28"/>
      <w:szCs w:val="28"/>
    </w:rPr>
  </w:style>
  <w:style w:type="character" w:customStyle="1" w:styleId="6Char">
    <w:name w:val="标题 6 Char"/>
    <w:basedOn w:val="a0"/>
    <w:link w:val="6"/>
    <w:uiPriority w:val="9"/>
    <w:qFormat/>
    <w:rsid w:val="00A73074"/>
    <w:rPr>
      <w:rFonts w:ascii="Cambria" w:eastAsia="宋体" w:hAnsi="Cambria" w:cs="Times New Roman"/>
      <w:b/>
      <w:bCs/>
      <w:kern w:val="0"/>
      <w:sz w:val="24"/>
      <w:szCs w:val="24"/>
    </w:rPr>
  </w:style>
  <w:style w:type="character" w:customStyle="1" w:styleId="7Char">
    <w:name w:val="标题 7 Char"/>
    <w:basedOn w:val="a0"/>
    <w:link w:val="7"/>
    <w:uiPriority w:val="9"/>
    <w:qFormat/>
    <w:rsid w:val="00A73074"/>
    <w:rPr>
      <w:rFonts w:ascii="Calibri" w:eastAsia="宋体" w:hAnsi="Calibri" w:cs="Times New Roman"/>
      <w:b/>
      <w:bCs/>
      <w:kern w:val="0"/>
      <w:sz w:val="24"/>
      <w:szCs w:val="24"/>
    </w:rPr>
  </w:style>
  <w:style w:type="character" w:customStyle="1" w:styleId="8Char">
    <w:name w:val="标题 8 Char"/>
    <w:basedOn w:val="a0"/>
    <w:link w:val="8"/>
    <w:uiPriority w:val="9"/>
    <w:qFormat/>
    <w:rsid w:val="00A73074"/>
    <w:rPr>
      <w:rFonts w:ascii="Cambria" w:eastAsia="宋体" w:hAnsi="Cambria" w:cs="Times New Roman"/>
      <w:kern w:val="0"/>
      <w:sz w:val="24"/>
      <w:szCs w:val="24"/>
    </w:rPr>
  </w:style>
  <w:style w:type="character" w:customStyle="1" w:styleId="9Char">
    <w:name w:val="标题 9 Char"/>
    <w:basedOn w:val="a0"/>
    <w:link w:val="9"/>
    <w:uiPriority w:val="9"/>
    <w:qFormat/>
    <w:rsid w:val="00A73074"/>
    <w:rPr>
      <w:rFonts w:ascii="Cambria" w:eastAsia="宋体" w:hAnsi="Cambria" w:cs="Times New Roman"/>
      <w:kern w:val="0"/>
      <w:sz w:val="24"/>
      <w:szCs w:val="21"/>
    </w:rPr>
  </w:style>
  <w:style w:type="paragraph" w:customStyle="1" w:styleId="n">
    <w:name w:val="二级标题n"/>
    <w:basedOn w:val="a"/>
    <w:link w:val="nChar"/>
    <w:qFormat/>
    <w:rsid w:val="00A73074"/>
    <w:pPr>
      <w:keepNext/>
      <w:keepLines/>
      <w:spacing w:before="260" w:after="260" w:line="360" w:lineRule="auto"/>
      <w:ind w:left="1029" w:hanging="576"/>
      <w:jc w:val="left"/>
      <w:outlineLvl w:val="1"/>
    </w:pPr>
    <w:rPr>
      <w:rFonts w:ascii="Cambria" w:eastAsia="宋体" w:hAnsi="Cambria" w:cs="Times New Roman"/>
      <w:b/>
      <w:bCs/>
      <w:kern w:val="0"/>
      <w:sz w:val="28"/>
      <w:szCs w:val="32"/>
    </w:rPr>
  </w:style>
  <w:style w:type="character" w:customStyle="1" w:styleId="nChar">
    <w:name w:val="二级标题n Char"/>
    <w:link w:val="n"/>
    <w:qFormat/>
    <w:rsid w:val="00A73074"/>
    <w:rPr>
      <w:rFonts w:ascii="Cambria" w:eastAsia="宋体" w:hAnsi="Cambria" w:cs="Times New Roman"/>
      <w:b/>
      <w:bCs/>
      <w:kern w:val="0"/>
      <w:sz w:val="28"/>
      <w:szCs w:val="32"/>
    </w:rPr>
  </w:style>
  <w:style w:type="paragraph" w:customStyle="1" w:styleId="TOC1">
    <w:name w:val="TOC 标题1"/>
    <w:basedOn w:val="1"/>
    <w:next w:val="a"/>
    <w:uiPriority w:val="39"/>
    <w:unhideWhenUsed/>
    <w:qFormat/>
    <w:rsid w:val="00A73074"/>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fontstyle11">
    <w:name w:val="fontstyle11"/>
    <w:basedOn w:val="a0"/>
    <w:qFormat/>
    <w:rsid w:val="00A73074"/>
    <w:rPr>
      <w:rFonts w:ascii="TimesNewRomanPSMT" w:eastAsia="TimesNewRomanPSMT" w:hAnsi="TimesNewRomanPSMT" w:cs="TimesNewRomanPSMT"/>
      <w:color w:val="000000"/>
      <w:sz w:val="24"/>
      <w:szCs w:val="24"/>
    </w:rPr>
  </w:style>
  <w:style w:type="character" w:customStyle="1" w:styleId="Char0">
    <w:name w:val="日期 Char"/>
    <w:basedOn w:val="a0"/>
    <w:link w:val="a4"/>
    <w:uiPriority w:val="99"/>
    <w:semiHidden/>
    <w:qFormat/>
    <w:rsid w:val="00A73074"/>
  </w:style>
  <w:style w:type="character" w:customStyle="1" w:styleId="Char1">
    <w:name w:val="批注框文本 Char"/>
    <w:basedOn w:val="a0"/>
    <w:link w:val="a5"/>
    <w:uiPriority w:val="99"/>
    <w:semiHidden/>
    <w:qFormat/>
    <w:rsid w:val="00A73074"/>
    <w:rPr>
      <w:sz w:val="18"/>
      <w:szCs w:val="18"/>
    </w:rPr>
  </w:style>
  <w:style w:type="character" w:customStyle="1" w:styleId="fontstyle01">
    <w:name w:val="fontstyle01"/>
    <w:basedOn w:val="a0"/>
    <w:qFormat/>
    <w:rsid w:val="00A73074"/>
    <w:rPr>
      <w:rFonts w:ascii="FZFSK--GBK1-0" w:hAnsi="FZFSK--GBK1-0" w:hint="default"/>
      <w:color w:val="000000"/>
      <w:sz w:val="30"/>
      <w:szCs w:val="30"/>
    </w:rPr>
  </w:style>
  <w:style w:type="paragraph" w:customStyle="1" w:styleId="11">
    <w:name w:val="修订1"/>
    <w:hidden/>
    <w:uiPriority w:val="99"/>
    <w:semiHidden/>
    <w:qFormat/>
    <w:rsid w:val="00A73074"/>
    <w:rPr>
      <w:rFonts w:asciiTheme="minorHAnsi" w:eastAsiaTheme="minorEastAsia" w:hAnsiTheme="minorHAnsi" w:cstheme="minorBidi"/>
      <w:kern w:val="2"/>
      <w:sz w:val="21"/>
      <w:szCs w:val="22"/>
    </w:rPr>
  </w:style>
  <w:style w:type="paragraph" w:customStyle="1" w:styleId="22">
    <w:name w:val="修订2"/>
    <w:hidden/>
    <w:uiPriority w:val="99"/>
    <w:semiHidden/>
    <w:qFormat/>
    <w:rsid w:val="00A73074"/>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15</Pages>
  <Words>905</Words>
  <Characters>5163</Characters>
  <Application>Microsoft Office Word</Application>
  <DocSecurity>0</DocSecurity>
  <Lines>43</Lines>
  <Paragraphs>12</Paragraphs>
  <ScaleCrop>false</ScaleCrop>
  <Company>微软中国</Company>
  <LinksUpToDate>false</LinksUpToDate>
  <CharactersWithSpaces>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江志国</cp:lastModifiedBy>
  <cp:revision>13</cp:revision>
  <cp:lastPrinted>2021-12-10T01:53:00Z</cp:lastPrinted>
  <dcterms:created xsi:type="dcterms:W3CDTF">2022-03-09T17:29:00Z</dcterms:created>
  <dcterms:modified xsi:type="dcterms:W3CDTF">2022-03-24T07:51:00Z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